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1F4C1">
      <w:pPr>
        <w:pStyle w:val="6"/>
        <w:numPr>
          <w:ilvl w:val="0"/>
          <w:numId w:val="0"/>
        </w:numPr>
        <w:spacing w:line="560" w:lineRule="exact"/>
        <w:jc w:val="center"/>
        <w:rPr>
          <w:rFonts w:hint="eastAsia" w:ascii="黑体" w:hAnsi="黑体" w:eastAsia="黑体" w:cs="黑体"/>
          <w:b/>
          <w:sz w:val="28"/>
          <w:szCs w:val="28"/>
          <w:highlight w:val="none"/>
          <w:lang w:val="en-US" w:eastAsia="zh-CN"/>
        </w:rPr>
      </w:pPr>
      <w:bookmarkStart w:id="0" w:name="_GoBack"/>
      <w:r>
        <w:rPr>
          <w:rFonts w:hint="eastAsia" w:ascii="黑体" w:hAnsi="黑体" w:eastAsia="黑体" w:cs="黑体"/>
          <w:b/>
          <w:sz w:val="28"/>
          <w:szCs w:val="28"/>
          <w:highlight w:val="none"/>
          <w:lang w:val="en-US" w:eastAsia="zh-CN"/>
        </w:rPr>
        <w:t>GE 1.5T磁共振维保服务采购项目采购需求</w:t>
      </w:r>
    </w:p>
    <w:bookmarkEnd w:id="0"/>
    <w:p w14:paraId="6BA624E3">
      <w:pPr>
        <w:pStyle w:val="2"/>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一、项目概况</w:t>
      </w:r>
    </w:p>
    <w:p w14:paraId="4464C0D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FF0000"/>
          <w:sz w:val="28"/>
          <w:szCs w:val="28"/>
          <w:highlight w:val="none"/>
        </w:rPr>
      </w:pPr>
      <w:r>
        <w:rPr>
          <w:rFonts w:hint="eastAsia" w:ascii="仿宋" w:hAnsi="仿宋" w:eastAsia="仿宋" w:cs="仿宋"/>
          <w:color w:val="FF0000"/>
          <w:sz w:val="28"/>
          <w:szCs w:val="28"/>
          <w:highlight w:val="none"/>
          <w:lang w:val="en-US" w:eastAsia="zh-CN"/>
        </w:rPr>
        <w:t>对医院2013年10月安装使用的GE Signa HDi 1.5T磁共振提供维保服务</w:t>
      </w:r>
      <w:r>
        <w:rPr>
          <w:rFonts w:hint="eastAsia" w:ascii="仿宋" w:hAnsi="仿宋" w:eastAsia="仿宋" w:cs="仿宋"/>
          <w:color w:val="FF0000"/>
          <w:sz w:val="28"/>
          <w:szCs w:val="28"/>
          <w:highlight w:val="none"/>
        </w:rPr>
        <w:t>。</w:t>
      </w:r>
    </w:p>
    <w:p w14:paraId="62F271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kern w:val="2"/>
          <w:sz w:val="28"/>
          <w:szCs w:val="28"/>
          <w:lang w:val="en-US" w:eastAsia="zh-CN" w:bidi="ar-SA"/>
        </w:rPr>
        <w:t>二、</w:t>
      </w:r>
      <w:r>
        <w:rPr>
          <w:rFonts w:hint="eastAsia" w:ascii="仿宋" w:hAnsi="仿宋" w:eastAsia="仿宋" w:cs="仿宋"/>
          <w:b/>
          <w:bCs/>
          <w:color w:val="FF0000"/>
          <w:sz w:val="28"/>
          <w:szCs w:val="28"/>
          <w:lang w:val="en-US" w:eastAsia="zh-CN"/>
        </w:rPr>
        <w:t>采购内容</w:t>
      </w:r>
    </w:p>
    <w:p w14:paraId="53024BB4">
      <w:pPr>
        <w:pStyle w:val="7"/>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FF0000"/>
          <w:kern w:val="2"/>
          <w:sz w:val="28"/>
          <w:szCs w:val="28"/>
          <w:highlight w:val="none"/>
          <w:lang w:val="en-US" w:eastAsia="zh-CN" w:bidi="ar-SA"/>
        </w:rPr>
      </w:pPr>
      <w:r>
        <w:rPr>
          <w:rFonts w:hint="eastAsia" w:ascii="仿宋" w:hAnsi="仿宋" w:eastAsia="仿宋" w:cs="仿宋"/>
          <w:color w:val="FF0000"/>
          <w:kern w:val="2"/>
          <w:sz w:val="28"/>
          <w:szCs w:val="28"/>
          <w:highlight w:val="none"/>
          <w:lang w:val="en-US" w:eastAsia="zh-CN" w:bidi="ar-SA"/>
        </w:rPr>
        <w:t>采购包1：</w:t>
      </w:r>
    </w:p>
    <w:p w14:paraId="5F0CC243">
      <w:pPr>
        <w:pStyle w:val="7"/>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采购包预算金额（万元）:</w:t>
      </w:r>
      <w:r>
        <w:rPr>
          <w:rFonts w:hint="eastAsia" w:ascii="仿宋" w:hAnsi="仿宋" w:eastAsia="仿宋" w:cs="仿宋"/>
          <w:color w:val="FF0000"/>
          <w:kern w:val="2"/>
          <w:sz w:val="28"/>
          <w:szCs w:val="28"/>
          <w:highlight w:val="none"/>
          <w:lang w:val="en-US" w:eastAsia="zh-CN" w:bidi="ar-SA"/>
        </w:rPr>
        <w:t>21.00</w:t>
      </w:r>
    </w:p>
    <w:p w14:paraId="3C69905F">
      <w:pPr>
        <w:pStyle w:val="7"/>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FF0000"/>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采购包最高限价（万元）:</w:t>
      </w:r>
      <w:r>
        <w:rPr>
          <w:rFonts w:hint="eastAsia" w:ascii="仿宋" w:hAnsi="仿宋" w:eastAsia="仿宋" w:cs="仿宋"/>
          <w:color w:val="FF0000"/>
          <w:kern w:val="2"/>
          <w:sz w:val="28"/>
          <w:szCs w:val="28"/>
          <w:highlight w:val="none"/>
          <w:lang w:val="en-US" w:eastAsia="zh-CN" w:bidi="ar-SA"/>
        </w:rPr>
        <w:t>21.00</w:t>
      </w:r>
    </w:p>
    <w:tbl>
      <w:tblPr>
        <w:tblStyle w:val="4"/>
        <w:tblpPr w:leftFromText="180" w:rightFromText="180" w:vertAnchor="text" w:horzAnchor="page" w:tblpX="1653" w:tblpY="294"/>
        <w:tblOverlap w:val="never"/>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4"/>
        <w:gridCol w:w="1316"/>
        <w:gridCol w:w="1489"/>
        <w:gridCol w:w="1500"/>
        <w:gridCol w:w="2146"/>
      </w:tblGrid>
      <w:tr w14:paraId="2366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874" w:type="dxa"/>
            <w:vAlign w:val="center"/>
          </w:tcPr>
          <w:p w14:paraId="12B7552A">
            <w:pPr>
              <w:pStyle w:val="7"/>
              <w:jc w:val="center"/>
              <w:rPr>
                <w:rFonts w:hint="default"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pPr>
            <w:r>
              <w:rPr>
                <w:rFonts w:hint="eastAsia"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t>标的名称</w:t>
            </w:r>
          </w:p>
        </w:tc>
        <w:tc>
          <w:tcPr>
            <w:tcW w:w="1316" w:type="dxa"/>
            <w:vAlign w:val="center"/>
          </w:tcPr>
          <w:p w14:paraId="1D938865">
            <w:pPr>
              <w:pStyle w:val="7"/>
              <w:jc w:val="center"/>
              <w:rPr>
                <w:rFonts w:hint="default"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pPr>
            <w:r>
              <w:rPr>
                <w:rFonts w:hint="eastAsia"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t>服务期限</w:t>
            </w:r>
          </w:p>
        </w:tc>
        <w:tc>
          <w:tcPr>
            <w:tcW w:w="1489" w:type="dxa"/>
            <w:vAlign w:val="center"/>
          </w:tcPr>
          <w:p w14:paraId="518EDFD8">
            <w:pPr>
              <w:pStyle w:val="7"/>
              <w:jc w:val="center"/>
              <w:rPr>
                <w:rFonts w:hint="eastAsia"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pPr>
            <w:r>
              <w:rPr>
                <w:rFonts w:hint="eastAsia"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t>预算金额</w:t>
            </w:r>
          </w:p>
          <w:p w14:paraId="70850640">
            <w:pPr>
              <w:pStyle w:val="7"/>
              <w:jc w:val="center"/>
              <w:rPr>
                <w:rFonts w:hint="default"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pPr>
            <w:r>
              <w:rPr>
                <w:rFonts w:hint="eastAsia"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t>（万元）</w:t>
            </w:r>
          </w:p>
        </w:tc>
        <w:tc>
          <w:tcPr>
            <w:tcW w:w="1500" w:type="dxa"/>
            <w:vAlign w:val="center"/>
          </w:tcPr>
          <w:p w14:paraId="0AE588B3">
            <w:pPr>
              <w:pStyle w:val="7"/>
              <w:jc w:val="center"/>
              <w:rPr>
                <w:rFonts w:hint="eastAsia"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pPr>
            <w:r>
              <w:rPr>
                <w:rFonts w:hint="eastAsia"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t>最高限价</w:t>
            </w:r>
          </w:p>
          <w:p w14:paraId="3A1BB4AF">
            <w:pPr>
              <w:pStyle w:val="7"/>
              <w:jc w:val="center"/>
              <w:rPr>
                <w:rFonts w:hint="eastAsia"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pPr>
            <w:r>
              <w:rPr>
                <w:rFonts w:hint="eastAsia"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t>（万元）</w:t>
            </w:r>
          </w:p>
        </w:tc>
        <w:tc>
          <w:tcPr>
            <w:tcW w:w="2146" w:type="dxa"/>
            <w:vAlign w:val="center"/>
          </w:tcPr>
          <w:p w14:paraId="79410737">
            <w:pPr>
              <w:pStyle w:val="7"/>
              <w:jc w:val="center"/>
              <w:rPr>
                <w:rFonts w:hint="default"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pPr>
            <w:r>
              <w:rPr>
                <w:rFonts w:hint="eastAsia"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t>价款形式</w:t>
            </w:r>
          </w:p>
        </w:tc>
      </w:tr>
      <w:tr w14:paraId="638A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874" w:type="dxa"/>
            <w:vAlign w:val="center"/>
          </w:tcPr>
          <w:p w14:paraId="3D22DA70">
            <w:pPr>
              <w:pStyle w:val="6"/>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GE 1.5T磁共振维保服务</w:t>
            </w:r>
          </w:p>
        </w:tc>
        <w:tc>
          <w:tcPr>
            <w:tcW w:w="1316" w:type="dxa"/>
            <w:vAlign w:val="center"/>
          </w:tcPr>
          <w:p w14:paraId="0D13BB75">
            <w:pPr>
              <w:pStyle w:val="6"/>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1年</w:t>
            </w:r>
          </w:p>
        </w:tc>
        <w:tc>
          <w:tcPr>
            <w:tcW w:w="1489" w:type="dxa"/>
            <w:vAlign w:val="center"/>
          </w:tcPr>
          <w:p w14:paraId="31015843">
            <w:pPr>
              <w:pStyle w:val="6"/>
              <w:keepNext w:val="0"/>
              <w:keepLines w:val="0"/>
              <w:pageBreakBefore w:val="0"/>
              <w:widowControl w:val="0"/>
              <w:kinsoku/>
              <w:wordWrap/>
              <w:overflowPunct/>
              <w:topLinePunct w:val="0"/>
              <w:autoSpaceDE/>
              <w:autoSpaceDN/>
              <w:bidi w:val="0"/>
              <w:adjustRightInd/>
              <w:snapToGrid/>
              <w:spacing w:line="0" w:lineRule="atLeast"/>
              <w:ind w:firstLine="560"/>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21.00</w:t>
            </w:r>
          </w:p>
        </w:tc>
        <w:tc>
          <w:tcPr>
            <w:tcW w:w="1500" w:type="dxa"/>
            <w:vAlign w:val="center"/>
          </w:tcPr>
          <w:p w14:paraId="539D243B">
            <w:pPr>
              <w:pStyle w:val="6"/>
              <w:keepNext w:val="0"/>
              <w:keepLines w:val="0"/>
              <w:pageBreakBefore w:val="0"/>
              <w:widowControl w:val="0"/>
              <w:kinsoku/>
              <w:wordWrap/>
              <w:overflowPunct/>
              <w:topLinePunct w:val="0"/>
              <w:autoSpaceDE/>
              <w:autoSpaceDN/>
              <w:bidi w:val="0"/>
              <w:adjustRightInd/>
              <w:snapToGrid/>
              <w:spacing w:line="0" w:lineRule="atLeast"/>
              <w:ind w:firstLine="560"/>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21.00</w:t>
            </w:r>
          </w:p>
        </w:tc>
        <w:tc>
          <w:tcPr>
            <w:tcW w:w="2146" w:type="dxa"/>
            <w:vAlign w:val="center"/>
          </w:tcPr>
          <w:p w14:paraId="101E013D">
            <w:pPr>
              <w:pStyle w:val="6"/>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固定总价</w:t>
            </w:r>
          </w:p>
        </w:tc>
      </w:tr>
    </w:tbl>
    <w:p w14:paraId="4A0DD0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8"/>
          <w:szCs w:val="28"/>
          <w:lang w:val="en-US" w:eastAsia="zh-CN" w:bidi="ar-SA"/>
        </w:rPr>
        <w:t>三、</w:t>
      </w:r>
      <w:r>
        <w:rPr>
          <w:rFonts w:hint="eastAsia" w:ascii="仿宋" w:hAnsi="仿宋" w:eastAsia="仿宋" w:cs="仿宋"/>
          <w:b/>
          <w:bCs/>
          <w:sz w:val="28"/>
          <w:szCs w:val="28"/>
          <w:lang w:val="en-US" w:eastAsia="zh-CN"/>
        </w:rPr>
        <w:t>技术及服务要求</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此节内容供应商在</w:t>
      </w:r>
      <w:r>
        <w:rPr>
          <w:rFonts w:hint="eastAsia" w:ascii="仿宋" w:hAnsi="仿宋" w:eastAsia="仿宋" w:cs="仿宋"/>
          <w:b/>
          <w:bCs/>
          <w:color w:val="auto"/>
          <w:sz w:val="28"/>
          <w:szCs w:val="28"/>
          <w:lang w:eastAsia="zh-CN"/>
        </w:rPr>
        <w:t>技术、服务及其他要求应答表</w:t>
      </w:r>
      <w:r>
        <w:rPr>
          <w:rFonts w:hint="eastAsia" w:ascii="仿宋" w:hAnsi="仿宋" w:eastAsia="仿宋" w:cs="仿宋"/>
          <w:b/>
          <w:bCs/>
          <w:color w:val="auto"/>
          <w:sz w:val="28"/>
          <w:szCs w:val="28"/>
          <w:lang w:val="en-US" w:eastAsia="zh-CN"/>
        </w:rPr>
        <w:t>中响应</w:t>
      </w:r>
      <w:r>
        <w:rPr>
          <w:rFonts w:hint="eastAsia" w:ascii="仿宋" w:hAnsi="仿宋" w:eastAsia="仿宋" w:cs="仿宋"/>
          <w:b/>
          <w:bCs/>
          <w:color w:val="auto"/>
          <w:sz w:val="28"/>
          <w:szCs w:val="28"/>
          <w:lang w:eastAsia="zh-CN"/>
        </w:rPr>
        <w:t>）</w:t>
      </w:r>
    </w:p>
    <w:p w14:paraId="528F248E">
      <w:pPr>
        <w:pStyle w:val="6"/>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1、提供我院GE Signa HDi 1.5T核磁共振整机全保(除激光相机、高压注射器第三方外围设备以外全包)，含MRI系统、冷却系统、空调系统、稳压电源及线圈等。</w:t>
      </w:r>
    </w:p>
    <w:p w14:paraId="14F3D5E4">
      <w:pPr>
        <w:pStyle w:val="6"/>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2、根据设备运行要求，提供不限次数的人工技术服务与备件更换，更换的备件为同一设备型号一致的原厂备件，安装完毕后达到设备运行标准与使用标准。</w:t>
      </w:r>
    </w:p>
    <w:p w14:paraId="7BF78786">
      <w:pPr>
        <w:pStyle w:val="6"/>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每年度定期维护与保养不少于4次，并提供维修、保养报告单。定期维护服务检测包括机器清洁、性能测试及校准、必要的机械或电气的检查，以及非紧急性质的预防性维护和确保系统能按照设备的产品规格运行的其他维护。</w:t>
      </w:r>
    </w:p>
    <w:p w14:paraId="4137DC91">
      <w:pPr>
        <w:pStyle w:val="6"/>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4、开机率:在合同期内确保开机率</w:t>
      </w:r>
      <w:r>
        <w:rPr>
          <w:rFonts w:hint="eastAsia" w:ascii="宋体" w:hAnsi="宋体" w:eastAsia="宋体" w:cs="宋体"/>
          <w:sz w:val="28"/>
          <w:szCs w:val="28"/>
          <w:highlight w:val="none"/>
          <w:lang w:val="en-US" w:eastAsia="zh-CN"/>
        </w:rPr>
        <w:t>≧</w:t>
      </w:r>
      <w:r>
        <w:rPr>
          <w:rFonts w:hint="eastAsia" w:ascii="仿宋" w:hAnsi="仿宋" w:eastAsia="仿宋" w:cs="仿宋"/>
          <w:sz w:val="28"/>
          <w:szCs w:val="28"/>
          <w:highlight w:val="none"/>
          <w:lang w:val="en-US" w:eastAsia="zh-CN"/>
        </w:rPr>
        <w:t>95%(按全年365天计算)，每年统计一次。</w:t>
      </w:r>
    </w:p>
    <w:p w14:paraId="252E0377">
      <w:pPr>
        <w:pStyle w:val="6"/>
        <w:numPr>
          <w:ilvl w:val="0"/>
          <w:numId w:val="0"/>
        </w:numPr>
        <w:spacing w:line="560" w:lineRule="exact"/>
        <w:ind w:left="0" w:leftChars="0" w:firstLine="560" w:firstLineChars="0"/>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lang w:val="en-US" w:eastAsia="zh-CN" w:bidi="ar-SA"/>
        </w:rPr>
        <w:t>5、</w:t>
      </w:r>
      <w:r>
        <w:rPr>
          <w:rFonts w:hint="eastAsia" w:ascii="仿宋" w:hAnsi="仿宋" w:eastAsia="仿宋" w:cs="仿宋"/>
          <w:sz w:val="28"/>
          <w:szCs w:val="28"/>
          <w:highlight w:val="none"/>
          <w:lang w:val="en-US" w:eastAsia="zh-CN"/>
        </w:rPr>
        <w:t>响应时间:接到故障报修电话后，1小时内做出响应，停机情况下，10小时内到达现场进行维修。</w:t>
      </w:r>
    </w:p>
    <w:p w14:paraId="555EC550">
      <w:pPr>
        <w:pStyle w:val="6"/>
        <w:numPr>
          <w:ilvl w:val="0"/>
          <w:numId w:val="0"/>
        </w:numPr>
        <w:spacing w:line="560" w:lineRule="exact"/>
        <w:ind w:left="0" w:leftChars="0" w:firstLine="56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6、维保设备经维保后整机性能参数须达到国家相关要求的能力(提供承诺函)。</w:t>
      </w:r>
    </w:p>
    <w:p w14:paraId="5F49BBE0">
      <w:pPr>
        <w:pStyle w:val="6"/>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7、投标人需具有对 MRI设备恢复失超、冷头、磁体热循环等大型故障的处理经验，需提供相关证明材料或承诺函。</w:t>
      </w:r>
    </w:p>
    <w:p w14:paraId="52CF94A2">
      <w:pPr>
        <w:pStyle w:val="6"/>
        <w:spacing w:line="560" w:lineRule="exact"/>
        <w:ind w:firstLine="56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sz w:val="28"/>
          <w:szCs w:val="28"/>
          <w:highlight w:val="none"/>
          <w:lang w:val="en-US" w:eastAsia="zh-CN"/>
        </w:rPr>
        <w:t>8、投标人具有客户服务电话，提供24小时</w:t>
      </w:r>
      <w:r>
        <w:rPr>
          <w:rFonts w:hint="default" w:ascii="Arial" w:hAnsi="Arial" w:eastAsia="仿宋" w:cs="Arial"/>
          <w:sz w:val="28"/>
          <w:szCs w:val="28"/>
          <w:highlight w:val="none"/>
          <w:lang w:val="en-US" w:eastAsia="zh-CN"/>
        </w:rPr>
        <w:t>×</w:t>
      </w:r>
      <w:r>
        <w:rPr>
          <w:rFonts w:hint="eastAsia" w:ascii="仿宋" w:hAnsi="仿宋" w:eastAsia="仿宋" w:cs="仿宋"/>
          <w:sz w:val="28"/>
          <w:szCs w:val="28"/>
          <w:highlight w:val="none"/>
          <w:lang w:val="en-US" w:eastAsia="zh-CN"/>
        </w:rPr>
        <w:t>365天电话支持，不限次数人工维修服务，节假日无休。</w:t>
      </w:r>
    </w:p>
    <w:p w14:paraId="44C2BD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8"/>
          <w:szCs w:val="28"/>
          <w:lang w:val="en-US" w:eastAsia="zh-CN" w:bidi="ar-SA"/>
        </w:rPr>
        <w:t>四、</w:t>
      </w:r>
      <w:r>
        <w:rPr>
          <w:rFonts w:hint="eastAsia" w:ascii="仿宋" w:hAnsi="仿宋" w:eastAsia="仿宋" w:cs="仿宋"/>
          <w:b/>
          <w:bCs/>
          <w:sz w:val="28"/>
          <w:szCs w:val="28"/>
          <w:lang w:val="en-US" w:eastAsia="zh-CN"/>
        </w:rPr>
        <w:t>商务要求</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此节内容供应商在商务</w:t>
      </w:r>
      <w:r>
        <w:rPr>
          <w:rFonts w:hint="eastAsia" w:ascii="仿宋" w:hAnsi="仿宋" w:eastAsia="仿宋" w:cs="仿宋"/>
          <w:b/>
          <w:bCs/>
          <w:color w:val="auto"/>
          <w:sz w:val="28"/>
          <w:szCs w:val="28"/>
          <w:lang w:eastAsia="zh-CN"/>
        </w:rPr>
        <w:t>要求应答表</w:t>
      </w:r>
      <w:r>
        <w:rPr>
          <w:rFonts w:hint="eastAsia" w:ascii="仿宋" w:hAnsi="仿宋" w:eastAsia="仿宋" w:cs="仿宋"/>
          <w:b/>
          <w:bCs/>
          <w:color w:val="auto"/>
          <w:sz w:val="28"/>
          <w:szCs w:val="28"/>
          <w:lang w:val="en-US" w:eastAsia="zh-CN"/>
        </w:rPr>
        <w:t>中响应</w:t>
      </w:r>
      <w:r>
        <w:rPr>
          <w:rFonts w:hint="eastAsia" w:ascii="仿宋" w:hAnsi="仿宋" w:eastAsia="仿宋" w:cs="仿宋"/>
          <w:b/>
          <w:bCs/>
          <w:color w:val="auto"/>
          <w:sz w:val="28"/>
          <w:szCs w:val="28"/>
          <w:lang w:eastAsia="zh-CN"/>
        </w:rPr>
        <w:t>）</w:t>
      </w:r>
    </w:p>
    <w:p w14:paraId="7309194A">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（一）合同履约期限</w:t>
      </w:r>
    </w:p>
    <w:p w14:paraId="25126EEE">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本项目合同履约期限为双方签字盖章生效之日起</w:t>
      </w:r>
      <w:r>
        <w:rPr>
          <w:rFonts w:hint="eastAsia" w:ascii="仿宋" w:hAnsi="仿宋" w:eastAsia="仿宋" w:cs="仿宋"/>
          <w:color w:val="FF0000"/>
          <w:sz w:val="28"/>
          <w:szCs w:val="28"/>
          <w:lang w:val="en-US" w:eastAsia="zh-CN"/>
        </w:rPr>
        <w:t>壹年</w:t>
      </w:r>
      <w:r>
        <w:rPr>
          <w:rFonts w:hint="eastAsia" w:ascii="仿宋" w:hAnsi="仿宋" w:eastAsia="仿宋" w:cs="仿宋"/>
          <w:color w:val="auto"/>
          <w:sz w:val="28"/>
          <w:szCs w:val="28"/>
          <w:lang w:val="en-US" w:eastAsia="zh-CN"/>
        </w:rPr>
        <w:t xml:space="preserve">，合同履约期限届满后，合同自然终止。 </w:t>
      </w:r>
    </w:p>
    <w:p w14:paraId="7B3BCEC6">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若本合同履约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w:t>
      </w:r>
    </w:p>
    <w:p w14:paraId="5230D581">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采购人完成新一轮招采工作后，本合同立即终止。</w:t>
      </w:r>
    </w:p>
    <w:p w14:paraId="6436F665">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（二）项目履行地点：大竹县人民医院放射科。货物交付采购人之前，货物的损毁、灭失风险由供应商承担。</w:t>
      </w:r>
    </w:p>
    <w:p w14:paraId="68A75480">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（三）付款方式</w:t>
      </w:r>
    </w:p>
    <w:p w14:paraId="1EFBAAFE">
      <w:pPr>
        <w:pStyle w:val="6"/>
        <w:spacing w:line="560" w:lineRule="exact"/>
        <w:ind w:firstLine="560"/>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合同签订日期后第6个月支付年维保费用50%，第12个月支付余下的50%。</w:t>
      </w:r>
    </w:p>
    <w:p w14:paraId="00BCDE76">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（四）验收方式和标准</w:t>
      </w:r>
    </w:p>
    <w:p w14:paraId="0530D1CF">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1、验收方式：由采购人组织验收，供应商配合、协助提供验收所需资料及功能演示。</w:t>
      </w:r>
    </w:p>
    <w:p w14:paraId="6F709E0D">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验收标准：按国家相关法律法规、行业标准、技术规范；采购文件相关技术、服务要求、中标供应商投标文件相关响应内容；更换零配件生产厂家出具的产品说明书、技术白皮书、医疗器械注册证或备案凭证等技术资料；如验收时双方对技术指标、质量要求等约定标准有相互抵触或异议的事项,双方须按照国家相关规定及采购文件相关技术、服务要求、中标供应商投标文件相关响应内容中质量要求和技术指标较严格的原则确定该事项的标准并进行验收；参照《财政部关于进一步加强政府采购需求和履约验收管理的指导意见》(财库(2016)205号)的要求进行验收。</w:t>
      </w:r>
    </w:p>
    <w:p w14:paraId="5BCB6F8C">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（五）违约责任</w:t>
      </w:r>
    </w:p>
    <w:p w14:paraId="742053EB">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合同约定的，则供应商违约。</w:t>
      </w:r>
    </w:p>
    <w:p w14:paraId="7F782B50">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中华人民共和国民法典》合同编的法律规定，采购人有权解除合同，并要求供应商承担相应违约责任并支付相应金额的违约金。采购人有权直接从供应商的合同货款中扣除违约金，供应商因违约行为偿付的违约金不足以弥补采购人损失的，还应按采购人损失尚未弥补的部分，支付赔偿金全额赔偿采购人损失。</w:t>
      </w:r>
    </w:p>
    <w:p w14:paraId="1A2FCF6C">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有下列情形之一行为视为供应商违约，采购人有权按照以下条款要求供应商承担违约金及违约责任：</w:t>
      </w:r>
    </w:p>
    <w:p w14:paraId="14B2539A">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（1）项目履行期限内，供应商明确表示或者以自己的行为表明不履行本项目合同的主要义务，则供应商违约，供应商应向采购人缴纳合同总价款20%的违约金，同时采购人有权解除合同。</w:t>
      </w:r>
    </w:p>
    <w:p w14:paraId="17A86F9A">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（2）供应商提供的货物或服务根本违约（例如提供假冒伪劣产品或以次充好），致使合同的目的不能实现的，供应商应向采购人缴纳合同总价款20%的违约金，同时采购人有权解除合同。</w:t>
      </w:r>
    </w:p>
    <w:p w14:paraId="06541EC3">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供应商延迟履约，即供应商应向采购人提供的货物及服务未按合同约定时间达成的，供应商每有一次违约行为，供应商应向采购人缴纳合同总价款10%的违约金；如供应商一年内出现两次及以上延迟履约，采购人有权解除合同。</w:t>
      </w:r>
    </w:p>
    <w:p w14:paraId="4586CCA4">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供应商所供的货物或服务瑕疵违约，与采购文件要求或采购人采购需求不符的，供应商应承担修理、重作、更换、退货、减少价款或者报酬等违约责任。同时供应商每有一次违约行为，供应商应向采购人缴纳合同总价款5%的违约金；如供应商一年内出现三次及以上本款所列违约行为，采购人有权解除合同。经采购人同意后，供应商更正瑕疵违约行为后，可以继续按合同约定履行合同。</w:t>
      </w:r>
    </w:p>
    <w:p w14:paraId="043DFDE8">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合同履行过程中因供应商及员工原因造成的一切安全事故、人身伤亡、经济损失均由供应商自行负责承担，其责任与采购人无关。如因供应商及其工作人员在项目实施过程中的疏忽、失职、过错等故意或者过失原因或货物问题给采购人造成损失或侵害，包括但不限于采购人本身的财产损失或人身伤害、由此而导致的采购人对任何第三方的法律责任等，供应商对此均应承担全部的赔偿责任和法律责任。</w:t>
      </w:r>
    </w:p>
    <w:p w14:paraId="62F9FD72">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lang w:val="en-US" w:eastAsia="zh-CN"/>
        </w:rPr>
      </w:pPr>
      <w:r>
        <w:rPr>
          <w:rFonts w:hint="eastAsia" w:ascii="仿宋" w:hAnsi="仿宋" w:eastAsia="仿宋" w:cs="仿宋"/>
          <w:color w:val="auto"/>
          <w:sz w:val="28"/>
          <w:szCs w:val="28"/>
          <w:lang w:val="en-US" w:eastAsia="zh-CN"/>
        </w:rPr>
        <w:t>3、其他条款</w:t>
      </w:r>
      <w:r>
        <w:rPr>
          <w:rFonts w:hint="eastAsia" w:ascii="仿宋" w:hAnsi="仿宋" w:eastAsia="仿宋" w:cs="仿宋"/>
          <w:sz w:val="28"/>
          <w:szCs w:val="28"/>
          <w:highlight w:val="none"/>
          <w:lang w:val="en-US" w:eastAsia="zh-CN"/>
        </w:rPr>
        <w:t>按合同约定执行。</w:t>
      </w:r>
    </w:p>
    <w:p w14:paraId="0FC407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五、其他要求</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此节内容供应商在</w:t>
      </w:r>
      <w:r>
        <w:rPr>
          <w:rFonts w:hint="eastAsia" w:ascii="仿宋" w:hAnsi="仿宋" w:eastAsia="仿宋" w:cs="仿宋"/>
          <w:b/>
          <w:bCs/>
          <w:color w:val="auto"/>
          <w:sz w:val="28"/>
          <w:szCs w:val="28"/>
          <w:lang w:eastAsia="zh-CN"/>
        </w:rPr>
        <w:t>技术、服务及其他要求应答表</w:t>
      </w:r>
      <w:r>
        <w:rPr>
          <w:rFonts w:hint="eastAsia" w:ascii="仿宋" w:hAnsi="仿宋" w:eastAsia="仿宋" w:cs="仿宋"/>
          <w:b/>
          <w:bCs/>
          <w:color w:val="auto"/>
          <w:sz w:val="28"/>
          <w:szCs w:val="28"/>
          <w:lang w:val="en-US" w:eastAsia="zh-CN"/>
        </w:rPr>
        <w:t>中响应</w:t>
      </w:r>
      <w:r>
        <w:rPr>
          <w:rFonts w:hint="eastAsia" w:ascii="仿宋" w:hAnsi="仿宋" w:eastAsia="仿宋" w:cs="仿宋"/>
          <w:b/>
          <w:bCs/>
          <w:color w:val="auto"/>
          <w:sz w:val="28"/>
          <w:szCs w:val="28"/>
          <w:lang w:eastAsia="zh-CN"/>
        </w:rPr>
        <w:t>）</w:t>
      </w:r>
    </w:p>
    <w:p w14:paraId="3DCFCFA5">
      <w:pPr>
        <w:pStyle w:val="6"/>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1、本章的所有内容为本次采购项目的实质性要求，不允许有负偏离。</w:t>
      </w:r>
    </w:p>
    <w:p w14:paraId="2939526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FF0000"/>
          <w:sz w:val="28"/>
          <w:szCs w:val="28"/>
          <w:highlight w:val="none"/>
        </w:rPr>
      </w:pPr>
      <w:r>
        <w:rPr>
          <w:rFonts w:hint="eastAsia" w:ascii="仿宋" w:hAnsi="仿宋" w:eastAsia="仿宋" w:cs="仿宋"/>
          <w:sz w:val="28"/>
          <w:szCs w:val="28"/>
          <w:highlight w:val="none"/>
          <w:lang w:val="en-US" w:eastAsia="zh-CN"/>
        </w:rPr>
        <w:t>2、本章内容中有明确的证明材料要求的应提供对应证明材料，否则视为负偏离。</w:t>
      </w:r>
    </w:p>
    <w:p w14:paraId="6B329C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692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unhideWhenUsed/>
    <w:qFormat/>
    <w:uiPriority w:val="99"/>
    <w:pPr>
      <w:ind w:firstLine="420" w:firstLineChars="100"/>
    </w:pPr>
  </w:style>
  <w:style w:type="paragraph" w:styleId="6">
    <w:name w:val="List Paragraph"/>
    <w:basedOn w:val="1"/>
    <w:autoRedefine/>
    <w:qFormat/>
    <w:uiPriority w:val="0"/>
    <w:pPr>
      <w:ind w:firstLine="420" w:firstLineChars="200"/>
    </w:pPr>
    <w:rPr>
      <w:szCs w:val="24"/>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2025-08-01T06:48:30Z</dcterms:created>
  <dc:creator>Administrator</dc:creator>
  <cp:lastModifiedBy>杨渊</cp:lastModifiedBy>
  <dcterms:modified xsi:type="dcterms:W3CDTF">2025-08-01T06:49:47Z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eyJoZGlkIjoiMmEzMjQwODg2MTUxYWRjZDRkZTVlNzExODVjYThlMzQiLCJ1c2VySWQiOiIyMzM3NTg3OTYifQ==</vt:lpwstr>
  </property>
  <property fmtid="{D5CDD505-2E9C-101B-9397-08002B2CF9AE}" pid="4" name="ICV">
    <vt:lpwstr>2D4D9DBD32F24384BF35FD60218CC94C_12</vt:lpwstr>
  </property>
</Properties>
</file>