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795AC">
      <w:pPr>
        <w:adjustRightInd w:val="0"/>
        <w:snapToGrid w:val="0"/>
        <w:spacing w:line="560" w:lineRule="exact"/>
        <w:ind w:firstLine="723" w:firstLineChars="20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采购需求</w:t>
      </w:r>
    </w:p>
    <w:p w14:paraId="451BE998">
      <w:pPr>
        <w:shd w:val="clear" w:color="auto" w:fill="FFFFFF"/>
        <w:tabs>
          <w:tab w:val="left" w:pos="1440"/>
        </w:tabs>
        <w:spacing w:line="420" w:lineRule="atLeast"/>
        <w:ind w:firstLine="480" w:firstLineChars="200"/>
        <w:outlineLvl w:val="0"/>
        <w:rPr>
          <w:rFonts w:hint="eastAsia" w:ascii="宋体" w:hAnsi="宋体"/>
          <w:color w:val="222222"/>
          <w:sz w:val="24"/>
          <w:szCs w:val="24"/>
        </w:rPr>
      </w:pPr>
    </w:p>
    <w:p w14:paraId="6A674BD0">
      <w:pPr>
        <w:numPr>
          <w:ilvl w:val="0"/>
          <w:numId w:val="1"/>
        </w:numPr>
        <w:adjustRightInd w:val="0"/>
        <w:snapToGrid w:val="0"/>
        <w:spacing w:line="560" w:lineRule="exact"/>
        <w:ind w:firstLine="562" w:firstLineChars="200"/>
        <w:rPr>
          <w:rFonts w:hint="eastAsia" w:ascii="仿宋" w:hAnsi="仿宋" w:eastAsia="仿宋" w:cs="仿宋"/>
          <w:b/>
          <w:bCs/>
          <w:sz w:val="28"/>
          <w:szCs w:val="28"/>
          <w:highlight w:val="none"/>
        </w:rPr>
      </w:pPr>
      <w:bookmarkStart w:id="0" w:name="_Toc7878"/>
      <w:bookmarkStart w:id="1" w:name="_Toc217446095"/>
      <w:r>
        <w:rPr>
          <w:rFonts w:hint="eastAsia" w:ascii="仿宋" w:hAnsi="仿宋" w:eastAsia="仿宋" w:cs="仿宋"/>
          <w:b/>
          <w:bCs/>
          <w:sz w:val="28"/>
          <w:szCs w:val="28"/>
          <w:highlight w:val="none"/>
        </w:rPr>
        <w:t>采购内容</w:t>
      </w:r>
      <w:bookmarkEnd w:id="0"/>
    </w:p>
    <w:p w14:paraId="3CB26383">
      <w:pPr>
        <w:numPr>
          <w:ilvl w:val="0"/>
          <w:numId w:val="0"/>
        </w:numPr>
        <w:adjustRightInd w:val="0"/>
        <w:snapToGrid w:val="0"/>
        <w:spacing w:line="5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采购包1：</w:t>
      </w:r>
    </w:p>
    <w:bookmarkEnd w:id="1"/>
    <w:tbl>
      <w:tblPr>
        <w:tblStyle w:val="3"/>
        <w:tblpPr w:leftFromText="180" w:rightFromText="180" w:vertAnchor="text" w:horzAnchor="page" w:tblpX="1653" w:tblpY="294"/>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640"/>
        <w:gridCol w:w="1484"/>
        <w:gridCol w:w="2607"/>
        <w:gridCol w:w="2236"/>
      </w:tblGrid>
      <w:tr w14:paraId="1F15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0" w:type="dxa"/>
            <w:vAlign w:val="center"/>
          </w:tcPr>
          <w:p w14:paraId="148B5840">
            <w:pPr>
              <w:pStyle w:val="6"/>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序号</w:t>
            </w:r>
          </w:p>
        </w:tc>
        <w:tc>
          <w:tcPr>
            <w:tcW w:w="2640" w:type="dxa"/>
            <w:vAlign w:val="center"/>
          </w:tcPr>
          <w:p w14:paraId="02C8029E">
            <w:pPr>
              <w:pStyle w:val="6"/>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货物名称/标的名称</w:t>
            </w:r>
          </w:p>
        </w:tc>
        <w:tc>
          <w:tcPr>
            <w:tcW w:w="1484" w:type="dxa"/>
            <w:vAlign w:val="center"/>
          </w:tcPr>
          <w:p w14:paraId="0935A3E4">
            <w:pPr>
              <w:pStyle w:val="6"/>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数量及单位</w:t>
            </w:r>
          </w:p>
        </w:tc>
        <w:tc>
          <w:tcPr>
            <w:tcW w:w="2607" w:type="dxa"/>
            <w:vAlign w:val="center"/>
          </w:tcPr>
          <w:p w14:paraId="2AFF6479">
            <w:pPr>
              <w:pStyle w:val="6"/>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单价最高限价（元）</w:t>
            </w:r>
          </w:p>
        </w:tc>
        <w:tc>
          <w:tcPr>
            <w:tcW w:w="2236" w:type="dxa"/>
            <w:vAlign w:val="center"/>
          </w:tcPr>
          <w:p w14:paraId="2960F2ED">
            <w:pPr>
              <w:pStyle w:val="6"/>
              <w:jc w:val="center"/>
              <w:rPr>
                <w:rFonts w:hint="default"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预算金额（元）</w:t>
            </w:r>
          </w:p>
        </w:tc>
      </w:tr>
      <w:tr w14:paraId="1816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0" w:type="dxa"/>
            <w:vAlign w:val="center"/>
          </w:tcPr>
          <w:p w14:paraId="5DE8EB5C">
            <w:pPr>
              <w:pStyle w:val="7"/>
              <w:spacing w:line="560" w:lineRule="exact"/>
              <w:ind w:left="0" w:leftChars="0" w:firstLine="0" w:firstLine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2640" w:type="dxa"/>
            <w:vAlign w:val="center"/>
          </w:tcPr>
          <w:p w14:paraId="3EDB89E5">
            <w:pPr>
              <w:pStyle w:val="7"/>
              <w:spacing w:line="560" w:lineRule="exact"/>
              <w:ind w:left="0" w:leftChars="0" w:firstLine="0" w:firstLineChars="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多参数监护仪</w:t>
            </w:r>
          </w:p>
        </w:tc>
        <w:tc>
          <w:tcPr>
            <w:tcW w:w="1484" w:type="dxa"/>
            <w:vAlign w:val="center"/>
          </w:tcPr>
          <w:p w14:paraId="748F393D">
            <w:pPr>
              <w:pStyle w:val="7"/>
              <w:spacing w:line="560" w:lineRule="exact"/>
              <w:ind w:firstLine="56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1台</w:t>
            </w:r>
          </w:p>
        </w:tc>
        <w:tc>
          <w:tcPr>
            <w:tcW w:w="2607" w:type="dxa"/>
            <w:vAlign w:val="center"/>
          </w:tcPr>
          <w:p w14:paraId="1ABA8BB5">
            <w:pPr>
              <w:pStyle w:val="7"/>
              <w:spacing w:line="560" w:lineRule="exact"/>
              <w:ind w:firstLine="56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46500</w:t>
            </w:r>
          </w:p>
        </w:tc>
        <w:tc>
          <w:tcPr>
            <w:tcW w:w="2236" w:type="dxa"/>
            <w:vAlign w:val="center"/>
          </w:tcPr>
          <w:p w14:paraId="5AE1D029">
            <w:pPr>
              <w:pStyle w:val="7"/>
              <w:spacing w:line="560" w:lineRule="exact"/>
              <w:ind w:firstLine="56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46500</w:t>
            </w:r>
          </w:p>
        </w:tc>
      </w:tr>
      <w:tr w14:paraId="1EB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0" w:type="dxa"/>
            <w:shd w:val="clear" w:color="auto" w:fill="auto"/>
            <w:vAlign w:val="center"/>
          </w:tcPr>
          <w:p w14:paraId="268640A8">
            <w:pPr>
              <w:pStyle w:val="7"/>
              <w:spacing w:line="560" w:lineRule="exact"/>
              <w:ind w:left="0" w:leftChars="0" w:firstLine="0" w:firstLine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640" w:type="dxa"/>
            <w:shd w:val="clear" w:color="auto" w:fill="auto"/>
            <w:vAlign w:val="center"/>
          </w:tcPr>
          <w:p w14:paraId="3F3270F8">
            <w:pPr>
              <w:pStyle w:val="7"/>
              <w:spacing w:line="560" w:lineRule="exact"/>
              <w:ind w:left="0" w:leftChars="0"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医用空气消毒机</w:t>
            </w:r>
          </w:p>
        </w:tc>
        <w:tc>
          <w:tcPr>
            <w:tcW w:w="1484" w:type="dxa"/>
            <w:shd w:val="clear" w:color="auto" w:fill="auto"/>
            <w:vAlign w:val="center"/>
          </w:tcPr>
          <w:p w14:paraId="58B8828E">
            <w:pPr>
              <w:pStyle w:val="7"/>
              <w:spacing w:line="560" w:lineRule="exact"/>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1台</w:t>
            </w:r>
          </w:p>
        </w:tc>
        <w:tc>
          <w:tcPr>
            <w:tcW w:w="2607" w:type="dxa"/>
            <w:shd w:val="clear" w:color="auto" w:fill="auto"/>
            <w:vAlign w:val="center"/>
          </w:tcPr>
          <w:p w14:paraId="6510EDFC">
            <w:pPr>
              <w:pStyle w:val="7"/>
              <w:spacing w:line="560" w:lineRule="exact"/>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5500</w:t>
            </w:r>
          </w:p>
        </w:tc>
        <w:tc>
          <w:tcPr>
            <w:tcW w:w="2236" w:type="dxa"/>
            <w:shd w:val="clear" w:color="auto" w:fill="auto"/>
            <w:vAlign w:val="center"/>
          </w:tcPr>
          <w:p w14:paraId="4FD8C833">
            <w:pPr>
              <w:pStyle w:val="7"/>
              <w:spacing w:line="560" w:lineRule="exact"/>
              <w:ind w:firstLine="560" w:firstLineChars="200"/>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5500</w:t>
            </w:r>
          </w:p>
        </w:tc>
      </w:tr>
      <w:tr w14:paraId="3DD9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67" w:type="dxa"/>
            <w:gridSpan w:val="5"/>
            <w:shd w:val="clear" w:color="auto" w:fill="auto"/>
            <w:vAlign w:val="center"/>
          </w:tcPr>
          <w:p w14:paraId="7993F0D6">
            <w:pPr>
              <w:pStyle w:val="7"/>
              <w:spacing w:line="560" w:lineRule="exact"/>
              <w:ind w:firstLine="482" w:firstLineChars="200"/>
              <w:rPr>
                <w:rFonts w:hint="default" w:ascii="仿宋" w:hAnsi="仿宋" w:eastAsia="仿宋" w:cs="仿宋"/>
                <w:sz w:val="28"/>
                <w:szCs w:val="28"/>
                <w:highlight w:val="none"/>
                <w:lang w:val="en-US" w:eastAsia="zh-CN"/>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预算总金额:</w:t>
            </w:r>
            <w:r>
              <w:rPr>
                <w:rFonts w:hint="eastAsia" w:ascii="仿宋" w:hAnsi="仿宋" w:eastAsia="仿宋" w:cs="仿宋"/>
                <w:sz w:val="28"/>
                <w:szCs w:val="28"/>
                <w:highlight w:val="none"/>
                <w:lang w:val="en-US" w:eastAsia="zh-CN"/>
              </w:rPr>
              <w:t>52000元（大写：伍万贰仟元整）</w:t>
            </w:r>
          </w:p>
        </w:tc>
      </w:tr>
    </w:tbl>
    <w:p w14:paraId="219C411A">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2" w:name="_Toc21734"/>
      <w:r>
        <w:rPr>
          <w:rFonts w:hint="eastAsia" w:ascii="仿宋" w:hAnsi="仿宋" w:eastAsia="仿宋" w:cs="仿宋"/>
          <w:b/>
          <w:bCs/>
          <w:sz w:val="28"/>
          <w:szCs w:val="28"/>
          <w:highlight w:val="none"/>
          <w:lang w:eastAsia="zh-CN"/>
        </w:rPr>
        <w:t>（二）技术参数要求</w:t>
      </w:r>
      <w:bookmarkEnd w:id="2"/>
      <w:bookmarkStart w:id="7" w:name="_GoBack"/>
      <w:bookmarkEnd w:id="7"/>
    </w:p>
    <w:p w14:paraId="173592C8">
      <w:pPr>
        <w:pStyle w:val="7"/>
        <w:spacing w:line="560" w:lineRule="exact"/>
        <w:ind w:firstLine="56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序号1：货物名称/标的名称：多参数监护仪</w:t>
      </w:r>
    </w:p>
    <w:p w14:paraId="4171CB3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用途：用于对患者进行心电、呼吸、体温、脉搏血氧饱和度、无创血压和有创血压等参数进行测量和分析等。</w:t>
      </w:r>
    </w:p>
    <w:p w14:paraId="6251452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技术参数要求：</w:t>
      </w:r>
    </w:p>
    <w:p w14:paraId="5B69989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1、模块化插件式床边监护仪，主机、显示屏和插件槽一体化设计，主机插槽数≥4个；</w:t>
      </w:r>
    </w:p>
    <w:p w14:paraId="5E142EF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2、显示屏≥12.1寸彩色电容触摸屏，分辨率≥1280 x 800像素，通道显示≥8，显示屏亮度自动调节；</w:t>
      </w:r>
    </w:p>
    <w:p w14:paraId="155AA27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3、具备内置锂电池，供电时间≥4小时，USB接口≥4个，支持连接存储设备、鼠标、键盘、条码扫描枪等USB设备；</w:t>
      </w:r>
    </w:p>
    <w:p w14:paraId="7216A0D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4、基本功能模块支持心电，呼吸，心率，无创血压，血氧饱和度，脉搏，双通道体温和双通道有创血压的同时监测；</w:t>
      </w:r>
    </w:p>
    <w:p w14:paraId="0497225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5、基本功能模块标配一个从监护仪拔出后作为独立的监护仪，支持病人的无缝转移，具有显示屏，屏幕尺寸≥5英寸，内置锂电池供电不小于4小时，无风扇设计；</w:t>
      </w:r>
    </w:p>
    <w:p w14:paraId="78606BC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6、具备3/5导心电监测,支持升级12导心电测量，并在监护仪上完成12导静息分析；</w:t>
      </w:r>
    </w:p>
    <w:p w14:paraId="2F8F21F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7、具备房颤心律失常分析功能，支持≥20种实时心律失常分析；</w:t>
      </w:r>
    </w:p>
    <w:p w14:paraId="0C4C959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8、提供ST段分析功能，支持在专门的窗口中分组显示心脏前壁，下壁和侧壁的ST实时片段和参考片段；</w:t>
      </w:r>
    </w:p>
    <w:p w14:paraId="411267E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9、监测ST段抬高或者压低，提供ST报警。提供单个或多个ST值报警，并支持相对的报警限设置；</w:t>
      </w:r>
    </w:p>
    <w:p w14:paraId="0FB2E69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10、具有QT/QTc测量功能，提供QT，QTc和ΔQTc参数值；</w:t>
      </w:r>
    </w:p>
    <w:p w14:paraId="2BB8B7B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11、血氧监测提供灌注指数（PI）的监测，配置指套式血氧探头，支持浸泡清洁与消毒，防水等级IPx7或更优；</w:t>
      </w:r>
    </w:p>
    <w:p w14:paraId="384BF94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12、具备双通道有创压IBP监测，支持升级≥8通道有创压监测；</w:t>
      </w:r>
    </w:p>
    <w:p w14:paraId="09B6302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 提供肺动脉锲压（PAWP）的监测和PPV参数监测；</w:t>
      </w:r>
    </w:p>
    <w:p w14:paraId="49F3B45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14、具备麻醉平衡指示界面，对于患者满足过程麻醉诱导，麻醉维持和麻醉复苏三个阶段进行专业界面显示，并提供麻醉复苏评分系统；</w:t>
      </w:r>
    </w:p>
    <w:p w14:paraId="29E433B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支持升级EtCO2监测模块，采用旁流技术，支持升级顺磁氧监测技术进行O2监测，水槽可快速更换；支持升级麻醉深度BISx4监测模块或者单机，提供≥4通道EEG，双频指数（BIS），肌电活动（EMG）,抑制比（SR），频谱边缘频率（SEF）等参数的监测；支持升级中心静脉血氧饱和度ScvO2监测，监测组织氧供和氧耗情况；支持升级RM呼吸力学监测，监测参数包含但不限于FEV1.0，RSBI，WOB等多种参数；</w:t>
      </w:r>
    </w:p>
    <w:p w14:paraId="71B6CD7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16、支持升级血流动力学PiCCO监测模块或者单机，可用Pulsion PiCCO技术股动脉和中心静脉常规穿刺实现微创CCO等血液动力学监测参数，并提供蛛网图；</w:t>
      </w:r>
    </w:p>
    <w:p w14:paraId="533EAB6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17、当同时监测RM和主流CO2参数时，提供扩展参数，包括容积CO2（VCO2）参数、通气参数和死腔参数等，并提供容积CO2曲线；</w:t>
      </w:r>
    </w:p>
    <w:p w14:paraId="2ADBA1D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18、当同时监测RM和AG参数，并配备有O2监测时，提供扩展参数，包括容积CO2，RQ和EE参数等；</w:t>
      </w:r>
    </w:p>
    <w:p w14:paraId="3CA47FD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19、可升级NMT肌松监测模块；</w:t>
      </w:r>
    </w:p>
    <w:p w14:paraId="15E1639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 支持升级EEG脑电监测模块、rSO2组织氧饱和度模块，AG麻醉气体监测模块；</w:t>
      </w:r>
    </w:p>
    <w:p w14:paraId="5209FA7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21、支持升级与主流麻醉机品牌的呼吸机相连，实现麻醉机设备的信息在监护仪上显示、存储、记录、打印或者用于参与计算等；</w:t>
      </w:r>
    </w:p>
    <w:p w14:paraId="26372B4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22、有大字体界面，支持≥6个参数区的设置和显示，具有图形化报警指示功能；</w:t>
      </w:r>
    </w:p>
    <w:p w14:paraId="6B8715F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23、具备血液动力学、药物计算、氧合计算、通气计算和肾功能计算等功能；</w:t>
      </w:r>
    </w:p>
    <w:p w14:paraId="3469292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24、支持≥40个参数的120小时（分辨率1分钟）趋势表、趋势图回顾，4小时（分辨率5秒）趋势表、趋势图回顾；</w:t>
      </w:r>
    </w:p>
    <w:p w14:paraId="758EF95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25、支持≥1000条事件回顾，每条报警事件能够存储32秒三道相关波形，以及报警触发时所有测量参数值；</w:t>
      </w:r>
    </w:p>
    <w:p w14:paraId="4937BCA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26、配备≥48小时全息波形的存储与回顾功能；</w:t>
      </w:r>
    </w:p>
    <w:p w14:paraId="700BE37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27、支持升级≥24小时心律失常统计，具有≥24小时心电综合分析概览（24h ECG综合分析报告），能够提供HR、ST、QT/QTc、心律失常、起搏等的统计结果，并能查看细节；</w:t>
      </w:r>
    </w:p>
    <w:p w14:paraId="1F3251B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 支持升级专业的血流动力学辅助应用，可图形化显示监测参数，体现参数之间的关系，提供目标治疗决策建议，提供抬腿试验辅助工具，提供心功能图指示，提供蛛网图参数跟踪等；</w:t>
      </w:r>
    </w:p>
    <w:p w14:paraId="2E4C7D1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29、支持升级心肌缺血评估工具、脓毒症筛查工具等。</w:t>
      </w:r>
    </w:p>
    <w:p w14:paraId="355E656F">
      <w:pPr>
        <w:pStyle w:val="7"/>
        <w:spacing w:line="560" w:lineRule="exact"/>
        <w:ind w:firstLine="56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序号2：货物名称/标的名称：空气消毒机</w:t>
      </w:r>
    </w:p>
    <w:p w14:paraId="5AB422CF">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用途：用于对空气进行消毒。</w:t>
      </w:r>
    </w:p>
    <w:p w14:paraId="7687599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技术参数要求：</w:t>
      </w:r>
    </w:p>
    <w:p w14:paraId="343B50C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一、功能</w:t>
      </w:r>
    </w:p>
    <w:p w14:paraId="2E49219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1、微电脑程序控制，中文背光液晶显示屏；</w:t>
      </w:r>
    </w:p>
    <w:p w14:paraId="5CFC42A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2、UV管、电机、负离子故障自动检测带真人语音故障提示；</w:t>
      </w:r>
    </w:p>
    <w:p w14:paraId="53A049D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3、UV强度在线自动检测，镜面不锈钢板固定，增加UV照射强度；</w:t>
      </w:r>
    </w:p>
    <w:p w14:paraId="2A3EE25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4、整机工作寿命计时和清洗保养提醒功能；</w:t>
      </w:r>
    </w:p>
    <w:p w14:paraId="1EC7C7A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5、主管失效备管自动支援及加强功能；</w:t>
      </w:r>
    </w:p>
    <w:p w14:paraId="378EB2B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6、具备程控、遥控、手控多控消毒运行；</w:t>
      </w:r>
    </w:p>
    <w:p w14:paraId="06D7704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7、风速≥3档可选；</w:t>
      </w:r>
    </w:p>
    <w:p w14:paraId="42FDE8E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8、双通道立体式出风，循环风量大；</w:t>
      </w:r>
    </w:p>
    <w:p w14:paraId="2130675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9、带多次使用初中效尘埃过滤网、活性炭网除臭及光触媒除菌等辅助消毒手段；</w:t>
      </w:r>
    </w:p>
    <w:p w14:paraId="24B601C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10、内置遥控器放置盒；</w:t>
      </w:r>
    </w:p>
    <w:p w14:paraId="6089B67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11、外设防滑扶手，可自由推拉移动。</w:t>
      </w:r>
    </w:p>
    <w:p w14:paraId="54C01C1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二、主要技术参数：</w:t>
      </w:r>
    </w:p>
    <w:p w14:paraId="7032C69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1、移动式；</w:t>
      </w:r>
    </w:p>
    <w:p w14:paraId="1A32B79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2、外观尺寸≤55cm×43cm×93cm；</w:t>
      </w:r>
    </w:p>
    <w:p w14:paraId="315B95A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3、循环消毒风量≥1300m3/h；</w:t>
      </w:r>
    </w:p>
    <w:p w14:paraId="503447E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4、紫外线辐照强度（垂直距离灯管15cm处）≥7.44×103μW/cm2；</w:t>
      </w:r>
    </w:p>
    <w:p w14:paraId="6408B8C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5、消毒功率≤450W；</w:t>
      </w:r>
    </w:p>
    <w:p w14:paraId="0D671B8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6、紫外线管寿命≥5000h；</w:t>
      </w:r>
    </w:p>
    <w:p w14:paraId="5D82F63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7、紫外线泄漏量＜5μW/cm2；</w:t>
      </w:r>
    </w:p>
    <w:p w14:paraId="10A53A8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8、消毒时空气中臭氧量≤0.1mg/m3；</w:t>
      </w:r>
    </w:p>
    <w:p w14:paraId="6B480F7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9、负离子发生量≥6×106个/cm3；</w:t>
      </w:r>
    </w:p>
    <w:p w14:paraId="4899AF2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10、噪音≤55dB(A)；</w:t>
      </w:r>
    </w:p>
    <w:p w14:paraId="4FA761D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11、消毒后空气中细菌总数：Ⅱ、Ⅲ类无菌环境标准；</w:t>
      </w:r>
    </w:p>
    <w:p w14:paraId="7A86615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14、适用环境：人在动态环境及静态环境（医院病区）。</w:t>
      </w:r>
    </w:p>
    <w:p w14:paraId="4C2B842D">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3" w:name="_Toc25039"/>
      <w:r>
        <w:rPr>
          <w:rFonts w:hint="eastAsia" w:ascii="仿宋" w:hAnsi="仿宋" w:eastAsia="仿宋" w:cs="仿宋"/>
          <w:b/>
          <w:bCs/>
          <w:sz w:val="28"/>
          <w:szCs w:val="28"/>
          <w:highlight w:val="none"/>
          <w:lang w:eastAsia="zh-CN"/>
        </w:rPr>
        <w:t>（三）商务要求</w:t>
      </w:r>
      <w:bookmarkEnd w:id="3"/>
    </w:p>
    <w:p w14:paraId="7A4F8CE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1、交货时间：为合同签订生效后的30日内。</w:t>
      </w:r>
    </w:p>
    <w:p w14:paraId="250F866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2、交货地点：由供应商负责送货至医院指定地点，并承担一切运输费用，包括到医院指定地点的搬运费。</w:t>
      </w:r>
    </w:p>
    <w:p w14:paraId="0676629F">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3、包装要求：</w:t>
      </w:r>
      <w:r>
        <w:rPr>
          <w:rFonts w:hint="eastAsia" w:ascii="仿宋" w:hAnsi="仿宋" w:eastAsia="仿宋" w:cs="仿宋"/>
          <w:bCs/>
          <w:sz w:val="28"/>
          <w:szCs w:val="28"/>
          <w:highlight w:val="none"/>
          <w:lang w:val="zh-CN"/>
        </w:rPr>
        <w:t>涉及的商品包装和快递包装，参考《商品包装政府采购需求标准（试行）》《快递包装政府采购需求标准（试行）》的要求执行。包装应适应于远距离运输、防潮、防震、防锈和防野蛮装卸，以确保货物安全无损运抵指定地点。</w:t>
      </w:r>
    </w:p>
    <w:p w14:paraId="56C6B23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4、资金支付方式：全部货物安装调试完毕并最终验收合格后 ，达到付款条件起 10 日内，支付合同总金额的 90.00%。全部货物安装调试完毕并最终验收合格，免费维保期一年后，达到付款条件起 10 日内，支付合同总金额的 10.00%。</w:t>
      </w:r>
    </w:p>
    <w:p w14:paraId="3D45BE9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5、提供的设备出厂日期必须在180天以内，否则拒绝接受设备，视为实质性违约。</w:t>
      </w:r>
    </w:p>
    <w:p w14:paraId="58BF87A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6、安装、调试、培训</w:t>
      </w:r>
    </w:p>
    <w:p w14:paraId="64A77C74">
      <w:pPr>
        <w:pStyle w:val="7"/>
        <w:spacing w:line="560" w:lineRule="exact"/>
        <w:ind w:firstLine="560"/>
        <w:rPr>
          <w:rFonts w:hint="eastAsia" w:ascii="仿宋" w:hAnsi="仿宋" w:eastAsia="仿宋" w:cs="仿宋"/>
          <w:sz w:val="28"/>
          <w:szCs w:val="28"/>
          <w:highlight w:val="none"/>
          <w:lang w:val="en-US" w:eastAsia="zh-CN"/>
        </w:rPr>
      </w:pPr>
      <w:bookmarkStart w:id="4" w:name="_Hlk131507646"/>
      <w:r>
        <w:rPr>
          <w:rFonts w:hint="eastAsia" w:ascii="仿宋" w:hAnsi="仿宋" w:eastAsia="仿宋" w:cs="仿宋"/>
          <w:sz w:val="28"/>
          <w:szCs w:val="28"/>
          <w:highlight w:val="none"/>
          <w:lang w:val="en-US" w:eastAsia="zh-CN"/>
        </w:rPr>
        <w:t>6.1合同签订后7日内，供应商需向采购人提供全面的机房建筑设计、供水供电、专用地线技术要求等设计图纸及安装条件的技术要求（如适用），并派专人现场进行技术服务和指导。</w:t>
      </w:r>
    </w:p>
    <w:p w14:paraId="1252ED7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6.2合同签订30日内，供应商完成供货并开始安装、调试。如因供应商责任而造成延期，所有因延期而产生的费用及造成的后果及损失由供应商承担。</w:t>
      </w:r>
      <w:bookmarkEnd w:id="4"/>
    </w:p>
    <w:p w14:paraId="69708B2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6.3供应商应提供完整的培训计划和方案。负责免费培训设备使用操作和维修维护人员，并提供有效的培训资料。如因产品质量和使用培训不到位造成医疗纠纷或医疗事故由供应商承担一切责任和损失。</w:t>
      </w:r>
    </w:p>
    <w:p w14:paraId="4D5AA4E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7、售后服务内容及要求</w:t>
      </w:r>
    </w:p>
    <w:p w14:paraId="7ECED80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7.1提供售后服务承诺，注明保修时间（验收合格后≥1年）、响应时间等。</w:t>
      </w:r>
      <w:bookmarkStart w:id="5" w:name="_Hlk131508250"/>
      <w:r>
        <w:rPr>
          <w:rFonts w:hint="eastAsia" w:ascii="仿宋" w:hAnsi="仿宋" w:eastAsia="仿宋" w:cs="仿宋"/>
          <w:sz w:val="28"/>
          <w:szCs w:val="28"/>
          <w:highlight w:val="none"/>
          <w:lang w:val="en-US" w:eastAsia="zh-CN"/>
        </w:rPr>
        <w:t>保修期内，</w:t>
      </w:r>
      <w:bookmarkEnd w:id="5"/>
      <w:r>
        <w:rPr>
          <w:rFonts w:hint="eastAsia" w:ascii="仿宋" w:hAnsi="仿宋" w:eastAsia="仿宋" w:cs="仿宋"/>
          <w:sz w:val="28"/>
          <w:szCs w:val="28"/>
          <w:highlight w:val="none"/>
          <w:lang w:val="en-US" w:eastAsia="zh-CN"/>
        </w:rPr>
        <w:t>负责所提供产品的售后服务，包括人工、差旅、设备及零配件增添更换等一切费用（人为损害及不可抗力因素除外）。</w:t>
      </w:r>
    </w:p>
    <w:p w14:paraId="14BFDFF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7.2协助医院做好设备质量控制工作，检测周期内免费出具产品性能评价报告（包括精密度、准确度、抗干扰能力、线性等），保证检验检查结果的准确性。</w:t>
      </w:r>
    </w:p>
    <w:p w14:paraId="5829297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7.3售后服务响应时间：当设备发生故障，10分钟内响应，24小时内到达现场解决问题。</w:t>
      </w:r>
    </w:p>
    <w:p w14:paraId="1563AB3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7.4保修期内，每年提供≥4次免费维护保养，并出具维护保养报告。</w:t>
      </w:r>
    </w:p>
    <w:p w14:paraId="6348157F">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6" w:name="_Toc17126"/>
      <w:r>
        <w:rPr>
          <w:rFonts w:hint="eastAsia" w:ascii="仿宋" w:hAnsi="仿宋" w:eastAsia="仿宋" w:cs="仿宋"/>
          <w:b/>
          <w:bCs/>
          <w:sz w:val="28"/>
          <w:szCs w:val="28"/>
          <w:highlight w:val="none"/>
          <w:lang w:eastAsia="zh-CN"/>
        </w:rPr>
        <w:t>（四）其他要求</w:t>
      </w:r>
      <w:bookmarkEnd w:id="6"/>
    </w:p>
    <w:p w14:paraId="4FF9FA9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1、本章技术参数中有明确的证明材料要求的应提供对应证明材料，否则视为负偏离。</w:t>
      </w:r>
    </w:p>
    <w:p w14:paraId="26EA9B3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2、本章的内容为本次采购项目的实质性要求，不允许有负偏离。</w:t>
      </w:r>
    </w:p>
    <w:p w14:paraId="3947423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3、供应商需提供厂家彩页或白皮书或检测报告复印件或重要功能截图等佐证材料（具体技术参数中有明确的证明材料要求的以具体技术参数中的要求为准），如无佐证材料的，视为负偏离。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A43A9"/>
    <w:multiLevelType w:val="singleLevel"/>
    <w:tmpl w:val="BE9A43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4E"/>
    <w:rsid w:val="000E1703"/>
    <w:rsid w:val="00521821"/>
    <w:rsid w:val="007C6F4E"/>
    <w:rsid w:val="007D6DCF"/>
    <w:rsid w:val="009F4EE6"/>
    <w:rsid w:val="00E858DB"/>
    <w:rsid w:val="37A84AB6"/>
    <w:rsid w:val="499D081B"/>
    <w:rsid w:val="6FF2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unhideWhenUsed/>
    <w:qFormat/>
    <w:uiPriority w:val="99"/>
    <w:pPr>
      <w:widowControl w:val="0"/>
      <w:kinsoku/>
      <w:autoSpaceDN/>
      <w:adjustRightInd/>
      <w:snapToGrid/>
      <w:spacing w:before="100" w:beforeAutospacing="1" w:after="120"/>
      <w:jc w:val="both"/>
      <w:textAlignment w:val="auto"/>
    </w:pPr>
    <w:rPr>
      <w:rFonts w:ascii="宋体" w:hAnsi="Times New Roman" w:cs="Times New Roman"/>
      <w:color w:val="auto"/>
      <w:sz w:val="34"/>
      <w:szCs w:val="34"/>
    </w:rPr>
  </w:style>
  <w:style w:type="character" w:customStyle="1" w:styleId="5">
    <w:name w:val="正文文本 Char"/>
    <w:basedOn w:val="4"/>
    <w:link w:val="2"/>
    <w:qFormat/>
    <w:uiPriority w:val="99"/>
    <w:rPr>
      <w:rFonts w:ascii="宋体" w:hAnsi="Times New Roman" w:eastAsia="宋体" w:cs="Times New Roman"/>
      <w:kern w:val="0"/>
      <w:sz w:val="34"/>
      <w:szCs w:val="34"/>
    </w:rPr>
  </w:style>
  <w:style w:type="paragraph" w:customStyle="1" w:styleId="6">
    <w:name w:val="null3"/>
    <w:basedOn w:val="1"/>
    <w:qFormat/>
    <w:uiPriority w:val="0"/>
    <w:pPr>
      <w:kinsoku/>
      <w:autoSpaceDE/>
      <w:autoSpaceDN/>
      <w:adjustRightInd/>
      <w:snapToGrid/>
      <w:textAlignment w:val="auto"/>
    </w:pPr>
    <w:rPr>
      <w:rFonts w:ascii="Calibri" w:hAnsi="Calibri" w:cs="Times New Roman"/>
      <w:color w:val="auto"/>
      <w:sz w:val="24"/>
      <w:szCs w:val="24"/>
    </w:rPr>
  </w:style>
  <w:style w:type="paragraph" w:styleId="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2944</Words>
  <Characters>3216</Characters>
  <Lines>17</Lines>
  <Paragraphs>4</Paragraphs>
  <TotalTime>0</TotalTime>
  <ScaleCrop>false</ScaleCrop>
  <LinksUpToDate>false</LinksUpToDate>
  <CharactersWithSpaces>3234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2025-05-15T03:15:00Z</dcterms:created>
  <dc:creator>PC</dc:creator>
  <cp:lastModifiedBy>庄主</cp:lastModifiedBy>
  <dcterms:modified xsi:type="dcterms:W3CDTF">2025-06-03T08:44:02Z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eyJoZGlkIjoiYzlkMmZkYmE5MjIyMjVmOTNjMjM2NjBkYzIyMmEyMDUiLCJ1c2VySWQiOiIzNTI2ODc0MzAifQ==</vt:lpwstr>
  </property>
  <property fmtid="{D5CDD505-2E9C-101B-9397-08002B2CF9AE}" pid="3" name="KSOProductBuildVer">
    <vt:lpwstr>2052-12.1.0.21171</vt:lpwstr>
  </property>
  <property fmtid="{D5CDD505-2E9C-101B-9397-08002B2CF9AE}" pid="4" name="ICV">
    <vt:lpwstr>20CB387F45AF4EDE97D67EE9A4FA99F3_12</vt:lpwstr>
  </property>
</Properties>
</file>