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E31D8">
      <w:pPr>
        <w:jc w:val="center"/>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大竹县人民医院院区墙面涂料、木门维修工程院内自主采购项目</w:t>
      </w:r>
    </w:p>
    <w:p w14:paraId="26C37A02">
      <w:pPr>
        <w:jc w:val="center"/>
        <w:rPr>
          <w:rFonts w:hint="default" w:eastAsia="黑体"/>
          <w:color w:val="auto"/>
          <w:sz w:val="28"/>
          <w:szCs w:val="28"/>
          <w:lang w:val="en-US" w:eastAsia="zh-CN"/>
        </w:rPr>
      </w:pPr>
      <w:r>
        <w:rPr>
          <w:rFonts w:hint="eastAsia" w:ascii="黑体" w:hAnsi="黑体" w:eastAsia="黑体"/>
          <w:color w:val="auto"/>
          <w:sz w:val="32"/>
          <w:szCs w:val="32"/>
          <w:lang w:val="en-US" w:eastAsia="zh-CN"/>
        </w:rPr>
        <w:t>采购需求</w:t>
      </w:r>
    </w:p>
    <w:p w14:paraId="5B87483D">
      <w:pPr>
        <w:pStyle w:val="10"/>
        <w:spacing w:line="360" w:lineRule="auto"/>
        <w:ind w:left="0" w:leftChars="0"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参加</w:t>
      </w:r>
      <w:r>
        <w:rPr>
          <w:rFonts w:hint="eastAsia" w:ascii="仿宋" w:hAnsi="仿宋" w:eastAsia="仿宋" w:cs="仿宋"/>
          <w:b/>
          <w:bCs/>
          <w:color w:val="auto"/>
          <w:sz w:val="28"/>
          <w:szCs w:val="28"/>
          <w:lang w:eastAsia="zh-CN"/>
        </w:rPr>
        <w:t>采购活动</w:t>
      </w:r>
      <w:r>
        <w:rPr>
          <w:rFonts w:hint="eastAsia" w:ascii="仿宋" w:hAnsi="仿宋" w:eastAsia="仿宋" w:cs="仿宋"/>
          <w:b/>
          <w:bCs/>
          <w:color w:val="auto"/>
          <w:sz w:val="28"/>
          <w:szCs w:val="28"/>
        </w:rPr>
        <w:t>的供应商应具备的</w:t>
      </w:r>
      <w:r>
        <w:rPr>
          <w:rFonts w:hint="eastAsia" w:ascii="仿宋" w:hAnsi="仿宋" w:eastAsia="仿宋" w:cs="仿宋"/>
          <w:b/>
          <w:bCs/>
          <w:color w:val="auto"/>
          <w:sz w:val="28"/>
          <w:szCs w:val="28"/>
          <w:lang w:val="en-US" w:eastAsia="zh-CN"/>
        </w:rPr>
        <w:t>资格</w:t>
      </w:r>
      <w:r>
        <w:rPr>
          <w:rFonts w:hint="eastAsia" w:ascii="仿宋" w:hAnsi="仿宋" w:eastAsia="仿宋" w:cs="仿宋"/>
          <w:b/>
          <w:bCs/>
          <w:color w:val="auto"/>
          <w:sz w:val="28"/>
          <w:szCs w:val="28"/>
        </w:rPr>
        <w:t>条件：</w:t>
      </w:r>
    </w:p>
    <w:p w14:paraId="5186151E">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1、具有独立承担民事责任的能力；</w:t>
      </w:r>
    </w:p>
    <w:p w14:paraId="294BF986">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w:t>
      </w:r>
    </w:p>
    <w:p w14:paraId="7880888F">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3、具有履行合同所必需的设备和专业技术能力；</w:t>
      </w:r>
    </w:p>
    <w:p w14:paraId="77D18B29">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4、具有依法缴纳税收和社会保障资金的良好记录；</w:t>
      </w:r>
    </w:p>
    <w:p w14:paraId="285D598D">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5、参加采购活动前三年内，在经营活动中没有重大违法记录；</w:t>
      </w:r>
    </w:p>
    <w:p w14:paraId="1E2627A9">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6、法律、行政法规规定的其他条件；    </w:t>
      </w:r>
    </w:p>
    <w:p w14:paraId="286D220F">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7、本项目不接受联合体</w:t>
      </w:r>
      <w:r>
        <w:rPr>
          <w:rFonts w:hint="eastAsia" w:ascii="仿宋" w:hAnsi="仿宋" w:eastAsia="仿宋" w:cs="仿宋"/>
          <w:color w:val="auto"/>
          <w:sz w:val="28"/>
          <w:szCs w:val="28"/>
          <w:lang w:val="en-US" w:eastAsia="zh-CN"/>
        </w:rPr>
        <w:t>参加</w:t>
      </w:r>
      <w:r>
        <w:rPr>
          <w:rFonts w:hint="eastAsia" w:ascii="仿宋" w:hAnsi="仿宋" w:eastAsia="仿宋" w:cs="仿宋"/>
          <w:color w:val="auto"/>
          <w:sz w:val="28"/>
          <w:szCs w:val="28"/>
        </w:rPr>
        <w:t xml:space="preserve"> ；  </w:t>
      </w:r>
    </w:p>
    <w:p w14:paraId="5ACE3A66">
      <w:pPr>
        <w:pStyle w:val="10"/>
        <w:spacing w:line="560" w:lineRule="exact"/>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8、根据采购项目提出的特殊条件：</w:t>
      </w:r>
      <w:r>
        <w:rPr>
          <w:rStyle w:val="9"/>
          <w:rFonts w:hint="eastAsia" w:ascii="仿宋" w:hAnsi="仿宋" w:eastAsia="仿宋" w:cs="仿宋"/>
          <w:b w:val="0"/>
          <w:bCs w:val="0"/>
          <w:i w:val="0"/>
          <w:iCs w:val="0"/>
          <w:caps w:val="0"/>
          <w:color w:val="FF0000"/>
          <w:spacing w:val="0"/>
          <w:sz w:val="28"/>
          <w:szCs w:val="28"/>
          <w:lang w:val="en-US" w:eastAsia="zh-CN"/>
        </w:rPr>
        <w:t>建筑类有效企业法人营业执照</w:t>
      </w:r>
      <w:r>
        <w:rPr>
          <w:rStyle w:val="9"/>
          <w:rFonts w:hint="eastAsia" w:ascii="仿宋" w:hAnsi="仿宋" w:eastAsia="仿宋" w:cs="仿宋"/>
          <w:b w:val="0"/>
          <w:bCs w:val="0"/>
          <w:i w:val="0"/>
          <w:iCs w:val="0"/>
          <w:caps w:val="0"/>
          <w:color w:val="auto"/>
          <w:spacing w:val="0"/>
          <w:sz w:val="28"/>
          <w:szCs w:val="28"/>
          <w:lang w:val="en-US" w:eastAsia="zh-CN"/>
        </w:rPr>
        <w:t>。</w:t>
      </w:r>
    </w:p>
    <w:p w14:paraId="53F8A233">
      <w:pPr>
        <w:pStyle w:val="4"/>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一、项目概况（技术要求）</w:t>
      </w:r>
    </w:p>
    <w:p w14:paraId="7E3DD311">
      <w:pPr>
        <w:pStyle w:val="11"/>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采购人大竹县人民医院是集医疗、教学、科研、预防保健为一体的国家三级甲等综合医院。采购人门诊大楼、内科大楼、感染科大楼、进修大楼、洗浆房使用时间较长，部分墙壁涂料返碱、脱落，部分病房门、厕所门损坏。采购人现拟维修门诊大楼、内科大楼、感染科大楼、进修大楼、洗浆房大楼部分涂料、木门，维修内容包括：墙面乳胶漆（刮腻子面漆各一遍）、墙面乳胶漆（面漆两遍）、木门油漆。</w:t>
      </w:r>
    </w:p>
    <w:p w14:paraId="346BAF93">
      <w:pPr>
        <w:pStyle w:val="11"/>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、项目预算</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技术要求</w:t>
      </w:r>
      <w:r>
        <w:rPr>
          <w:rFonts w:hint="eastAsia" w:ascii="仿宋" w:hAnsi="仿宋" w:eastAsia="仿宋" w:cs="仿宋"/>
          <w:b/>
          <w:bCs/>
          <w:sz w:val="28"/>
          <w:szCs w:val="28"/>
          <w:lang w:eastAsia="zh-CN"/>
        </w:rPr>
        <w:t>）</w:t>
      </w:r>
    </w:p>
    <w:p w14:paraId="0DB35AB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本项目采购总预算为：</w:t>
      </w:r>
      <w:r>
        <w:rPr>
          <w:rFonts w:hint="eastAsia" w:ascii="仿宋" w:hAnsi="仿宋" w:eastAsia="仿宋" w:cs="仿宋"/>
          <w:sz w:val="28"/>
          <w:szCs w:val="28"/>
          <w:lang w:val="en-US" w:eastAsia="zh-CN"/>
        </w:rPr>
        <w:t>168017.2元</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壹拾陆万捌仟零壹拾柒元贰角整</w:t>
      </w:r>
      <w:r>
        <w:rPr>
          <w:rFonts w:hint="eastAsia" w:ascii="仿宋" w:hAnsi="仿宋" w:eastAsia="仿宋" w:cs="仿宋"/>
          <w:sz w:val="28"/>
          <w:szCs w:val="28"/>
        </w:rPr>
        <w:t>）</w:t>
      </w:r>
      <w:r>
        <w:rPr>
          <w:rFonts w:hint="eastAsia" w:ascii="仿宋" w:hAnsi="仿宋" w:eastAsia="仿宋" w:cs="仿宋"/>
          <w:color w:val="auto"/>
          <w:sz w:val="28"/>
          <w:szCs w:val="28"/>
          <w:lang w:val="en-US" w:eastAsia="zh-CN"/>
        </w:rPr>
        <w:t>，供应商报价为本项目全部工作内容的价格体现，采购人无须另向供应商支付其他任何费用，采购人不因市场风险、价格波动等情况向供应商支付风险补偿和成本补偿等费用。</w:t>
      </w:r>
    </w:p>
    <w:p w14:paraId="51D308C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三、采购标的（技术要求）</w:t>
      </w:r>
    </w:p>
    <w:tbl>
      <w:tblPr>
        <w:tblStyle w:val="7"/>
        <w:tblpPr w:leftFromText="180" w:rightFromText="180" w:vertAnchor="text" w:horzAnchor="page" w:tblpX="1253" w:tblpY="61"/>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65"/>
        <w:gridCol w:w="3422"/>
        <w:gridCol w:w="3573"/>
      </w:tblGrid>
      <w:tr w14:paraId="6EF7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88" w:type="pct"/>
            <w:tcBorders>
              <w:top w:val="single" w:color="auto" w:sz="4" w:space="0"/>
              <w:left w:val="single" w:color="auto" w:sz="4" w:space="0"/>
              <w:bottom w:val="single" w:color="auto" w:sz="4" w:space="0"/>
              <w:right w:val="single" w:color="auto" w:sz="4" w:space="0"/>
              <w:tl2br w:val="nil"/>
              <w:tr2bl w:val="nil"/>
            </w:tcBorders>
            <w:vAlign w:val="center"/>
          </w:tcPr>
          <w:p w14:paraId="79194DB9">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项目名称</w:t>
            </w:r>
          </w:p>
        </w:tc>
        <w:tc>
          <w:tcPr>
            <w:tcW w:w="1717" w:type="pct"/>
            <w:tcBorders>
              <w:top w:val="single" w:color="auto" w:sz="4" w:space="0"/>
              <w:left w:val="single" w:color="auto" w:sz="4" w:space="0"/>
              <w:bottom w:val="single" w:color="auto" w:sz="4" w:space="0"/>
              <w:right w:val="single" w:color="auto" w:sz="4" w:space="0"/>
              <w:tl2br w:val="nil"/>
              <w:tr2bl w:val="nil"/>
            </w:tcBorders>
            <w:vAlign w:val="center"/>
          </w:tcPr>
          <w:p w14:paraId="1907EDD8">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主要内容</w:t>
            </w:r>
          </w:p>
        </w:tc>
        <w:tc>
          <w:tcPr>
            <w:tcW w:w="1793" w:type="pct"/>
            <w:tcBorders>
              <w:top w:val="single" w:color="auto" w:sz="4" w:space="0"/>
              <w:left w:val="single" w:color="auto" w:sz="4" w:space="0"/>
              <w:bottom w:val="single" w:color="auto" w:sz="4" w:space="0"/>
              <w:right w:val="single" w:color="auto" w:sz="4" w:space="0"/>
              <w:tl2br w:val="nil"/>
              <w:tr2bl w:val="nil"/>
            </w:tcBorders>
            <w:vAlign w:val="center"/>
          </w:tcPr>
          <w:p w14:paraId="78BA64BD">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最高限价（元）</w:t>
            </w:r>
          </w:p>
        </w:tc>
      </w:tr>
      <w:tr w14:paraId="01FF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488" w:type="pct"/>
            <w:tcBorders>
              <w:top w:val="single" w:color="auto" w:sz="4" w:space="0"/>
              <w:left w:val="single" w:color="auto" w:sz="4" w:space="0"/>
              <w:bottom w:val="single" w:color="auto" w:sz="4" w:space="0"/>
              <w:right w:val="single" w:color="auto" w:sz="4" w:space="0"/>
              <w:tl2br w:val="nil"/>
              <w:tr2bl w:val="nil"/>
            </w:tcBorders>
            <w:vAlign w:val="center"/>
          </w:tcPr>
          <w:p w14:paraId="2BEF65D9">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eastAsia" w:ascii="仿宋" w:hAnsi="仿宋" w:eastAsia="仿宋" w:cs="仿宋"/>
                <w:i/>
                <w:iCs/>
                <w:kern w:val="0"/>
                <w:sz w:val="28"/>
                <w:szCs w:val="28"/>
                <w:lang w:val="en-US" w:eastAsia="zh-CN"/>
              </w:rPr>
            </w:pPr>
            <w:r>
              <w:rPr>
                <w:rFonts w:hint="eastAsia" w:ascii="仿宋" w:hAnsi="仿宋" w:eastAsia="仿宋" w:cs="仿宋"/>
                <w:kern w:val="2"/>
                <w:sz w:val="28"/>
                <w:szCs w:val="28"/>
                <w:vertAlign w:val="baseline"/>
                <w:lang w:val="en-US" w:eastAsia="zh-CN" w:bidi="ar-SA"/>
              </w:rPr>
              <w:t>大竹县人民医院院区墙面涂料、木门维修工程</w:t>
            </w:r>
          </w:p>
        </w:tc>
        <w:tc>
          <w:tcPr>
            <w:tcW w:w="1717" w:type="pct"/>
            <w:tcBorders>
              <w:top w:val="single" w:color="auto" w:sz="4" w:space="0"/>
              <w:left w:val="single" w:color="auto" w:sz="4" w:space="0"/>
              <w:bottom w:val="single" w:color="auto" w:sz="4" w:space="0"/>
              <w:right w:val="single" w:color="auto" w:sz="4" w:space="0"/>
              <w:tl2br w:val="nil"/>
              <w:tr2bl w:val="nil"/>
            </w:tcBorders>
            <w:vAlign w:val="center"/>
          </w:tcPr>
          <w:p w14:paraId="22868523">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eastAsia" w:ascii="仿宋" w:hAnsi="仿宋" w:eastAsia="仿宋" w:cs="仿宋"/>
                <w:i/>
                <w:iCs/>
                <w:kern w:val="0"/>
                <w:sz w:val="28"/>
                <w:szCs w:val="28"/>
                <w:lang w:eastAsia="zh-CN"/>
              </w:rPr>
            </w:pPr>
            <w:r>
              <w:rPr>
                <w:rFonts w:hint="eastAsia" w:ascii="仿宋" w:hAnsi="仿宋" w:eastAsia="仿宋" w:cs="仿宋"/>
                <w:kern w:val="2"/>
                <w:sz w:val="28"/>
                <w:szCs w:val="28"/>
                <w:vertAlign w:val="baseline"/>
                <w:lang w:val="en-US" w:eastAsia="zh-CN" w:bidi="ar-SA"/>
              </w:rPr>
              <w:t>墙面乳胶漆（刮腻子面漆各一遍）、墙面乳胶漆（面漆两遍）、木门油漆</w:t>
            </w:r>
          </w:p>
        </w:tc>
        <w:tc>
          <w:tcPr>
            <w:tcW w:w="1793" w:type="pct"/>
            <w:tcBorders>
              <w:top w:val="single" w:color="auto" w:sz="4" w:space="0"/>
              <w:left w:val="single" w:color="auto" w:sz="4" w:space="0"/>
              <w:bottom w:val="single" w:color="auto" w:sz="4" w:space="0"/>
              <w:right w:val="single" w:color="auto" w:sz="4" w:space="0"/>
              <w:tl2br w:val="nil"/>
              <w:tr2bl w:val="nil"/>
            </w:tcBorders>
            <w:vAlign w:val="center"/>
          </w:tcPr>
          <w:p w14:paraId="15E4D539">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i/>
                <w:iCs/>
                <w:kern w:val="0"/>
                <w:sz w:val="28"/>
                <w:szCs w:val="28"/>
              </w:rPr>
            </w:pPr>
            <w:r>
              <w:rPr>
                <w:rFonts w:hint="eastAsia" w:ascii="仿宋" w:hAnsi="仿宋" w:eastAsia="仿宋" w:cs="仿宋"/>
                <w:kern w:val="2"/>
                <w:sz w:val="28"/>
                <w:szCs w:val="28"/>
                <w:vertAlign w:val="baseline"/>
                <w:lang w:val="en-US" w:eastAsia="zh-CN" w:bidi="ar-SA"/>
              </w:rPr>
              <w:t>168017.2</w:t>
            </w:r>
          </w:p>
        </w:tc>
      </w:tr>
    </w:tbl>
    <w:p w14:paraId="133A1524">
      <w:pPr>
        <w:keepNext w:val="0"/>
        <w:keepLines w:val="0"/>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四、项目技术要求</w:t>
      </w:r>
    </w:p>
    <w:p w14:paraId="18B903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（一）墙面涂料标准</w:t>
      </w:r>
    </w:p>
    <w:p w14:paraId="149DD3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1、表面观感</w:t>
      </w:r>
    </w:p>
    <w:p w14:paraId="6B3B1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1.1颜色均匀性 </w:t>
      </w:r>
    </w:p>
    <w:p w14:paraId="48E572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漆面颜色应均匀一致，无色差、透底、漏刷现象；分色线应平直，无毛边或交叉污染（如与其他材质交界处）。</w:t>
      </w:r>
    </w:p>
    <w:p w14:paraId="66432E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1.2平整度</w:t>
      </w:r>
    </w:p>
    <w:p w14:paraId="03979E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墙面应平整，无凹凸、波浪纹或明显刷痕；侧光检查：无阴影、砂眼、颗粒感。</w:t>
      </w:r>
    </w:p>
    <w:p w14:paraId="21CB79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1.3光泽度  </w:t>
      </w:r>
    </w:p>
    <w:p w14:paraId="63EF4B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表面无反光点，光泽均匀，无斑驳。</w:t>
      </w:r>
    </w:p>
    <w:p w14:paraId="34C0C7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2、细节处理</w:t>
      </w:r>
    </w:p>
    <w:p w14:paraId="5B65F0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2.1边角处理</w:t>
      </w:r>
    </w:p>
    <w:p w14:paraId="748C29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阴阳角应垂直或顺直，无崩边、开裂；开关插座、门窗框周边无污染，漆膜覆盖严密。</w:t>
      </w:r>
    </w:p>
    <w:p w14:paraId="253064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2.2接缝处理</w:t>
      </w:r>
    </w:p>
    <w:p w14:paraId="6BC08C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不同颜色或材质交界处应清晰整齐，无相互渗透。</w:t>
      </w:r>
    </w:p>
    <w:p w14:paraId="36A62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3、质量缺陷检查</w:t>
      </w:r>
    </w:p>
    <w:p w14:paraId="20C2BD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3.1无开裂、起皮</w:t>
      </w:r>
    </w:p>
    <w:p w14:paraId="66EE64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检查墙面是否有龟裂、细纹或漆膜脱落（尤其注意吊顶接缝处）。</w:t>
      </w:r>
    </w:p>
    <w:p w14:paraId="415517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3.2无流坠、疙瘩</w:t>
      </w:r>
    </w:p>
    <w:p w14:paraId="56946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墙面无涂料堆积形成的“泪痕”或未溶解的颗粒。</w:t>
      </w:r>
    </w:p>
    <w:p w14:paraId="2EC243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3.3无发霉、污染</w:t>
      </w:r>
    </w:p>
    <w:p w14:paraId="0DEA68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潮湿区域（如卫生间周边）需检查是否有霉点或水渍。</w:t>
      </w:r>
    </w:p>
    <w:p w14:paraId="391131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4、工具辅助</w:t>
      </w:r>
    </w:p>
    <w:p w14:paraId="32BF0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4.1靠尺检测平整度</w:t>
      </w:r>
    </w:p>
    <w:p w14:paraId="6EF5E4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用2米靠尺贴合墙面，缝隙≤3mm为合格。</w:t>
      </w:r>
    </w:p>
    <w:p w14:paraId="55ECCC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4.2手摸检查</w:t>
      </w:r>
    </w:p>
    <w:p w14:paraId="54FC03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手感光滑无颗粒、无粘腻感。</w:t>
      </w:r>
    </w:p>
    <w:p w14:paraId="7017F4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4.3胶带测试</w:t>
      </w:r>
    </w:p>
    <w:p w14:paraId="1CC1E1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用透明胶带粘贴漆面后快速撕下，无大面积掉粉为合格。</w:t>
      </w:r>
    </w:p>
    <w:p w14:paraId="0D26E0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（二）木门油漆标准  </w:t>
      </w:r>
    </w:p>
    <w:p w14:paraId="37FF6F7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1、外观质量</w:t>
      </w:r>
    </w:p>
    <w:p w14:paraId="456B21B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1.1漆膜完整性</w:t>
      </w:r>
    </w:p>
    <w:p w14:paraId="32FD29A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漆面应均匀、饱满，无漏刷、透底、起皮、剥落现象；检查是否有流坠、橘皮、刷痕、颗粒、气泡等缺陷。  </w:t>
      </w:r>
    </w:p>
    <w:p w14:paraId="3DF6EDF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1.2颜色与光泽度  </w:t>
      </w:r>
    </w:p>
    <w:p w14:paraId="53483DE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维修区域与原漆面无色差，整体色调协调。   </w:t>
      </w:r>
    </w:p>
    <w:p w14:paraId="4E2D17A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1.3表面平整度 </w:t>
      </w:r>
    </w:p>
    <w:p w14:paraId="79A32C6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用手触摸漆面，应光滑无毛刺、无颗粒感；侧光检查，无波浪纹、砂眼、凹陷。  </w:t>
      </w:r>
    </w:p>
    <w:p w14:paraId="66B555E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2、工艺细节</w:t>
      </w:r>
    </w:p>
    <w:p w14:paraId="10EB96A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2.1边角与接缝处理</w:t>
      </w:r>
    </w:p>
    <w:p w14:paraId="3FBC4A6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门扇边缘、门框、合页槽等细节部位油漆涂刷到位，无漏涂或堆积；门套与墙体接缝处密封胶均匀，无开裂、脱落。  </w:t>
      </w:r>
    </w:p>
    <w:p w14:paraId="6EED765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2.2修补痕迹</w:t>
      </w:r>
    </w:p>
    <w:p w14:paraId="4A5628A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局部修补应无明显补丁感，新旧漆面过渡自然；大面积翻新后，整门漆膜均匀一致，无分层或色差。  </w:t>
      </w:r>
    </w:p>
    <w:p w14:paraId="6FD36D6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2.3打磨与底漆处理 </w:t>
      </w:r>
    </w:p>
    <w:p w14:paraId="052C294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维修前应打磨平整，无旧漆残留、毛刺；底漆涂刷到位，确保面漆附着力强，不易脱落。  </w:t>
      </w:r>
    </w:p>
    <w:p w14:paraId="2F65DCA2">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环保与耐久性</w:t>
      </w:r>
    </w:p>
    <w:p w14:paraId="5BF6A23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3.1环保性 </w:t>
      </w:r>
    </w:p>
    <w:p w14:paraId="0B1C94E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漆面无刺激性气味，可要求提供油漆的环保检测报告。  </w:t>
      </w:r>
    </w:p>
    <w:p w14:paraId="615CDE4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3.2附着力测试</w:t>
      </w:r>
    </w:p>
    <w:p w14:paraId="62CF554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用指甲轻划漆面，无掉粉、起皮；湿布擦拭后，漆面无褪色、脱落。  </w:t>
      </w:r>
    </w:p>
    <w:p w14:paraId="2B1ADD7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3.3防潮防霉性</w:t>
      </w:r>
    </w:p>
    <w:p w14:paraId="3C67884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卫生间潮湿区域的门，漆面应无鼓包、霉变。  </w:t>
      </w:r>
    </w:p>
    <w:p w14:paraId="27B05BB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4、验收方法</w:t>
      </w:r>
    </w:p>
    <w:p w14:paraId="24AC763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4.1目测+手摸</w:t>
      </w:r>
    </w:p>
    <w:p w14:paraId="788517E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自然光下观察，手摸确认光滑度。  </w:t>
      </w:r>
    </w:p>
    <w:p w14:paraId="43E20AA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4.2靠尺检测 </w:t>
      </w:r>
    </w:p>
    <w:p w14:paraId="1011CB1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用2米靠尺检查门扇平整度，缝隙≤3mm为合格。  </w:t>
      </w:r>
    </w:p>
    <w:p w14:paraId="4C92CA9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4.3胶带测试</w:t>
      </w:r>
    </w:p>
    <w:p w14:paraId="24A0319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贴透明胶带后撕下，漆膜无脱落即合格。  </w:t>
      </w:r>
    </w:p>
    <w:p w14:paraId="4809EF6D">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（三）供应商提供的施工及配套货物、服务事项须符合国家相关质量标准、技术标准、安全认证，符合国家有关安全、环保、卫生的规定等。</w:t>
      </w:r>
    </w:p>
    <w:p w14:paraId="47DEDA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若本项目的标的技术要求无明确说明或质量要求不明确的，按照强制性国家标准履行；没有强制性国家标准的，按照推荐性国家标准履行；没有推荐性国家标准的，按照行业标准履行；没有国家标准、行业标准的，按照通常标准或者符合项目目的的特定标准履行，包括标的的售后和质保期时间。</w:t>
      </w:r>
    </w:p>
    <w:p w14:paraId="014CED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（四）供应商未经采购人同意，不得擅自拆改原建筑物结构或设备管线，由此发生的损失或事故，由供应商负责并承担损失，采购人有权从工程款中扣除相应金额。</w:t>
      </w:r>
    </w:p>
    <w:p w14:paraId="5CDB329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FF0000"/>
          <w:sz w:val="28"/>
          <w:szCs w:val="28"/>
          <w:vertAlign w:val="baseline"/>
          <w:lang w:val="en-US" w:eastAsia="zh-CN"/>
        </w:rPr>
      </w:pPr>
      <w:r>
        <w:rPr>
          <w:rFonts w:hint="eastAsia" w:ascii="仿宋" w:hAnsi="仿宋" w:eastAsia="仿宋" w:cs="仿宋"/>
          <w:sz w:val="28"/>
          <w:szCs w:val="28"/>
          <w:vertAlign w:val="baseline"/>
          <w:lang w:val="en-US" w:eastAsia="zh-CN"/>
        </w:rPr>
        <w:t>（五）工程在竣工验收合格并交付采购人使用前，供应商应该负责清理并打扫工地现场。如供应商拒绝清理并打扫，采购人可以拒绝接收使用并有权聘请其他人员清理工地现场，由此发生的清理费用采购人可以从工程款中予以相应扣除。</w:t>
      </w:r>
    </w:p>
    <w:p w14:paraId="674BFD3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（六）采购人对工程的技术标准和功能要求的特殊要求  </w:t>
      </w:r>
    </w:p>
    <w:p w14:paraId="105A7A0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须严格执行国家和地方最新的施工规范、安全操作规范、防火安全规定、合同相关约定，制定详细施工计划并组织实施，严格按照施工设计要求保质保量进行施工，确保工程质量，并且严格按照合同规定期限要求完成施工任务。</w:t>
      </w:r>
    </w:p>
    <w:p w14:paraId="4310A74C">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lang w:val="en-US" w:eastAsia="zh-CN"/>
        </w:rPr>
      </w:pPr>
      <w:r>
        <w:rPr>
          <w:rFonts w:hint="eastAsia" w:ascii="仿宋" w:hAnsi="仿宋" w:eastAsia="仿宋" w:cs="仿宋"/>
          <w:sz w:val="28"/>
          <w:szCs w:val="28"/>
          <w:vertAlign w:val="baseline"/>
          <w:lang w:val="en-US" w:eastAsia="zh-CN"/>
        </w:rPr>
        <w:t>为了保证工程质量，采购人有权随时要求供应商提供的材料和设备其相应的产品合格证、保修证书等供核对。如果供应商没有或者无法向采购人提供上述资料，采购人可以选择拒绝同意供应商使用相关材料、设备。</w:t>
      </w:r>
    </w:p>
    <w:p w14:paraId="550C0737">
      <w:pPr>
        <w:pStyle w:val="17"/>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五、商务要求</w:t>
      </w:r>
    </w:p>
    <w:p w14:paraId="658AEA3B">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合同的履行期限</w:t>
      </w:r>
    </w:p>
    <w:p w14:paraId="2687DFED">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双方签订采购合同生效之日起，</w:t>
      </w:r>
      <w:r>
        <w:rPr>
          <w:rFonts w:hint="eastAsia" w:ascii="仿宋" w:hAnsi="仿宋" w:eastAsia="仿宋" w:cs="仿宋"/>
          <w:sz w:val="28"/>
          <w:szCs w:val="28"/>
          <w:lang w:val="en-US" w:eastAsia="zh-CN"/>
        </w:rPr>
        <w:t>自项目验收合格之日后一年截止。</w:t>
      </w:r>
    </w:p>
    <w:p w14:paraId="0BF4153B">
      <w:pPr>
        <w:pStyle w:val="3"/>
        <w:keepNext w:val="0"/>
        <w:keepLines w:val="0"/>
        <w:pageBreakBefore w:val="0"/>
        <w:numPr>
          <w:ilvl w:val="0"/>
          <w:numId w:val="3"/>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工期</w:t>
      </w:r>
    </w:p>
    <w:p w14:paraId="472CF1E6">
      <w:pPr>
        <w:pStyle w:val="3"/>
        <w:keepNext w:val="0"/>
        <w:keepLines w:val="0"/>
        <w:pageBreakBefore w:val="0"/>
        <w:numPr>
          <w:ilvl w:val="0"/>
          <w:numId w:val="0"/>
        </w:numPr>
        <w:kinsoku/>
        <w:wordWrap/>
        <w:overflowPunct/>
        <w:topLinePunct w:val="0"/>
        <w:autoSpaceDE/>
        <w:autoSpaceDN/>
        <w:bidi w:val="0"/>
        <w:adjustRightInd/>
        <w:snapToGrid/>
        <w:spacing w:line="560" w:lineRule="exact"/>
        <w:ind w:right="25" w:rightChars="1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b w:val="0"/>
          <w:bCs/>
          <w:sz w:val="28"/>
          <w:szCs w:val="28"/>
          <w:vertAlign w:val="baseline"/>
          <w:lang w:val="en-US" w:eastAsia="zh-CN"/>
        </w:rPr>
        <w:t>供应商自合同签订生效之日起，45日内完成全部施工内容。</w:t>
      </w:r>
    </w:p>
    <w:p w14:paraId="45A9EB8F">
      <w:pPr>
        <w:pStyle w:val="17"/>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项目履行地点</w:t>
      </w:r>
    </w:p>
    <w:p w14:paraId="2C6D07B4">
      <w:pPr>
        <w:pStyle w:val="17"/>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四川省大竹县白塔街道青年路99号</w:t>
      </w:r>
      <w:r>
        <w:rPr>
          <w:rFonts w:hint="eastAsia" w:ascii="仿宋" w:hAnsi="仿宋" w:eastAsia="仿宋" w:cs="仿宋"/>
          <w:sz w:val="28"/>
          <w:szCs w:val="28"/>
        </w:rPr>
        <w:t>大竹县人民医院院内指定地点</w:t>
      </w:r>
      <w:r>
        <w:rPr>
          <w:rFonts w:hint="eastAsia" w:ascii="仿宋" w:hAnsi="仿宋" w:eastAsia="仿宋" w:cs="仿宋"/>
          <w:sz w:val="28"/>
          <w:szCs w:val="28"/>
          <w:lang w:val="en-US" w:eastAsia="zh-CN"/>
        </w:rPr>
        <w:t>；工程交付采购人之前，成品及半成品的损毁、灭失风险由供应商承担。在施工过程中以及工程竣工未移交采购人之前，供应商应该负责对现场的一切材料、设施和装修工程成品、半成品进行保护，如发生丢失或损坏，在供应商无法证明是由于采购人过错导致丢失或损坏的情况下，均由供应商自行承担相关损失。</w:t>
      </w:r>
    </w:p>
    <w:p w14:paraId="0AF3E8A1">
      <w:pPr>
        <w:pStyle w:val="11"/>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8" w:firstLineChars="20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项目付款方式</w:t>
      </w:r>
    </w:p>
    <w:p w14:paraId="5B810DDB">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人采用银行转账方式付款，采购人付款前，供应商必须提供工程量清单和验收资料（采购人出具的验收、签收资料）给采购人核对，供应商的工程量清单应清楚、准确、真实。供应商必须出具国家认可的足额有效发票，供应商为一般纳税人的，应当提供增值税专用发票。供应商未按前款要求提供资料和票据的，采购人有权拒绝付款。</w:t>
      </w:r>
    </w:p>
    <w:p w14:paraId="75F61EC3">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color w:val="auto"/>
          <w:sz w:val="28"/>
          <w:szCs w:val="28"/>
        </w:rPr>
        <w:t>双方核对一致后，供应商才可开具发票。采购人在收到供应商前款所述有效票据后，工程完工，验收合格，采购人收到发票后15日内支付合同总金额97%，剩余合同总金额3%于质保验收合格后15日内付清。</w:t>
      </w:r>
    </w:p>
    <w:p w14:paraId="7F940FAC">
      <w:pPr>
        <w:pStyle w:val="10"/>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8" w:firstLineChars="202"/>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验收方式</w:t>
      </w:r>
    </w:p>
    <w:p w14:paraId="59A7F871">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1、验收内容和标准：按本项目采购内容和技术要求执行。</w:t>
      </w:r>
    </w:p>
    <w:p w14:paraId="6B2B9F8E">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、验收方式。由采购人组织、供应商配合，根据国家有关强制性规定以及本项目的约定进行验收，若供应商履约不能实现协议约定，采购人有权拒绝支付费用。</w:t>
      </w:r>
    </w:p>
    <w:p w14:paraId="4953BEF9">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应在采购人指定的院内任意地点接受采购人验收，并将标的的检验报告资料和履约质量资料，移交至采购人职能科室工作人员。采购人有权要求供应商提供前款资料，并核实资料真实性，如供应商无正当理由不予配合或证实实际履约与协议约定的要求不符，视为供应商违约，采购人有权拒绝支付费用并要求供应商承担违约责任。</w:t>
      </w:r>
    </w:p>
    <w:p w14:paraId="44724003">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按协议约定完成标的全部内容并通知采购人后，采购人在收到供应商通知后5个工作日内，采购人组织验收。采购人应当在检验期限内将标的完成情况不符合协议约定的情形通知供应商。采购人怠于通知的，视为标的完成情况符合协议约定。</w:t>
      </w:r>
    </w:p>
    <w:p w14:paraId="1E89EE69">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、协议约定的验收期限或者质量保证期短于法律、行政法规规定期限的，应当以法律、行政法规规定的期限为准。</w:t>
      </w:r>
    </w:p>
    <w:p w14:paraId="17B135C8">
      <w:pPr>
        <w:pStyle w:val="11"/>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）运输要求</w:t>
      </w:r>
    </w:p>
    <w:p w14:paraId="3850ACF1">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运输费、装卸费由成交供应商承担。</w:t>
      </w:r>
    </w:p>
    <w:p w14:paraId="5DF40799">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）售后服务要求</w:t>
      </w:r>
    </w:p>
    <w:p w14:paraId="7D8A7661">
      <w:pPr>
        <w:pStyle w:val="10"/>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1、质保服务响应时间：供应商维修人员电话指导维修响应时间≤2小时；达到现场维修时间≤48小时。</w:t>
      </w:r>
    </w:p>
    <w:p w14:paraId="6872C4BA">
      <w:pPr>
        <w:pStyle w:val="10"/>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2、服务内容与计划：一年保修期内，除采购人正常使用造成损坏外，供应商应无条件免费维修。</w:t>
      </w:r>
    </w:p>
    <w:p w14:paraId="4D3059DF">
      <w:pPr>
        <w:rPr>
          <w:color w:val="auto"/>
        </w:rPr>
      </w:pPr>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B76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1863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F1863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A1E7"/>
    <w:multiLevelType w:val="singleLevel"/>
    <w:tmpl w:val="0474A1E7"/>
    <w:lvl w:ilvl="0" w:tentative="0">
      <w:start w:val="2"/>
      <w:numFmt w:val="chineseCounting"/>
      <w:suff w:val="nothing"/>
      <w:lvlText w:val="（%1）"/>
      <w:lvlJc w:val="left"/>
      <w:rPr>
        <w:rFonts w:hint="eastAsia"/>
      </w:rPr>
    </w:lvl>
  </w:abstractNum>
  <w:abstractNum w:abstractNumId="1">
    <w:nsid w:val="45946062"/>
    <w:multiLevelType w:val="singleLevel"/>
    <w:tmpl w:val="45946062"/>
    <w:lvl w:ilvl="0" w:tentative="0">
      <w:start w:val="1"/>
      <w:numFmt w:val="decimal"/>
      <w:suff w:val="nothing"/>
      <w:lvlText w:val="%1、"/>
      <w:lvlJc w:val="left"/>
    </w:lvl>
  </w:abstractNum>
  <w:abstractNum w:abstractNumId="2">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037EA9"/>
    <w:rsid w:val="51A333AD"/>
    <w:rsid w:val="667478EF"/>
    <w:rsid w:val="69842596"/>
    <w:rsid w:val="7298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Times New Roman" w:hAnsi="Times New Roman"/>
      <w:kern w:val="0"/>
      <w:sz w:val="20"/>
      <w:szCs w:val="24"/>
    </w:rPr>
  </w:style>
  <w:style w:type="paragraph" w:styleId="4">
    <w:name w:val="Body Text"/>
    <w:basedOn w:val="1"/>
    <w:next w:val="5"/>
    <w:unhideWhenUsed/>
    <w:qFormat/>
    <w:uiPriority w:val="0"/>
    <w:pPr>
      <w:spacing w:after="120"/>
    </w:pPr>
    <w:rPr>
      <w:rFonts w:ascii="Times New Roman"/>
      <w:kern w:val="2"/>
      <w:sz w:val="21"/>
      <w:szCs w:val="24"/>
    </w:rPr>
  </w:style>
  <w:style w:type="paragraph" w:styleId="5">
    <w:name w:val="Subtitle"/>
    <w:basedOn w:val="1"/>
    <w:next w:val="1"/>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character" w:styleId="9">
    <w:name w:val="Strong"/>
    <w:basedOn w:val="8"/>
    <w:qFormat/>
    <w:uiPriority w:val="0"/>
    <w:rPr>
      <w:b/>
    </w:rPr>
  </w:style>
  <w:style w:type="paragraph" w:styleId="10">
    <w:name w:val="List Paragraph"/>
    <w:basedOn w:val="1"/>
    <w:autoRedefine/>
    <w:qFormat/>
    <w:uiPriority w:val="0"/>
    <w:pPr>
      <w:ind w:firstLine="420" w:firstLineChars="200"/>
    </w:pPr>
    <w:rPr>
      <w:szCs w:val="24"/>
    </w:rPr>
  </w:style>
  <w:style w:type="paragraph" w:customStyle="1" w:styleId="11">
    <w:name w:val="正文_1"/>
    <w:next w:val="12"/>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2">
    <w:name w:val="正文_2"/>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标题 5（有编号）（绿盟科技）"/>
    <w:basedOn w:val="12"/>
    <w:next w:val="1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5">
    <w:name w:val="font41"/>
    <w:basedOn w:val="8"/>
    <w:autoRedefine/>
    <w:qFormat/>
    <w:uiPriority w:val="0"/>
    <w:rPr>
      <w:rFonts w:ascii="Arial" w:hAnsi="Arial" w:cs="Arial"/>
      <w:color w:val="000000"/>
      <w:sz w:val="24"/>
      <w:szCs w:val="24"/>
      <w:u w:val="none"/>
    </w:rPr>
  </w:style>
  <w:style w:type="character" w:customStyle="1" w:styleId="16">
    <w:name w:val="font31"/>
    <w:basedOn w:val="8"/>
    <w:autoRedefine/>
    <w:qFormat/>
    <w:uiPriority w:val="0"/>
    <w:rPr>
      <w:rFonts w:hint="eastAsia" w:ascii="仿宋" w:hAnsi="仿宋" w:eastAsia="仿宋" w:cs="仿宋"/>
      <w:color w:val="000000"/>
      <w:sz w:val="24"/>
      <w:szCs w:val="24"/>
      <w:u w:val="none"/>
    </w:rPr>
  </w:style>
  <w:style w:type="paragraph" w:customStyle="1" w:styleId="17">
    <w:name w:val="正文文本_1"/>
    <w:basedOn w:val="18"/>
    <w:next w:val="18"/>
    <w:autoRedefine/>
    <w:unhideWhenUsed/>
    <w:qFormat/>
    <w:uiPriority w:val="99"/>
    <w:pPr>
      <w:spacing w:after="120"/>
    </w:pPr>
    <w:rPr>
      <w:rFonts w:ascii="Times New Roman" w:hAnsi="Times New Roman"/>
      <w:kern w:val="0"/>
      <w:sz w:val="20"/>
      <w:szCs w:val="20"/>
    </w:rPr>
  </w:style>
  <w:style w:type="paragraph" w:customStyle="1" w:styleId="18">
    <w:name w:val="正文_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9956</Words>
  <Characters>11477</Characters>
  <Lines>0</Lines>
  <Paragraphs>0</Paragraphs>
  <TotalTime>0</TotalTime>
  <ScaleCrop>false</ScaleCrop>
  <LinksUpToDate>false</LinksUpToDate>
  <CharactersWithSpaces>11506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2025-04-21T07:27:00Z</dcterms:created>
  <dc:creator>Administrator</dc:creator>
  <cp:lastModifiedBy>.</cp:lastModifiedBy>
  <dcterms:modified xsi:type="dcterms:W3CDTF">2025-05-07T08:08:11Z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eyJoZGlkIjoiMTAzMTBlMjY5MTY5NTBhZjJkYTQzY2Y2YjcxYmI5YTMiLCJ1c2VySWQiOiI5OTEwMzk2NDYifQ==</vt:lpwstr>
  </property>
  <property fmtid="{D5CDD505-2E9C-101B-9397-08002B2CF9AE}" pid="4" name="ICV">
    <vt:lpwstr>4E7CA2B696C84509A43D2ECBEFBCCF3D_12</vt:lpwstr>
  </property>
</Properties>
</file>