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350864514"/>
      <w:bookmarkStart w:id="1" w:name="_Toc193106174"/>
      <w:bookmarkStart w:id="2" w:name="_Toc193105917"/>
      <w:bookmarkStart w:id="3" w:name="_Toc193106063"/>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w:t>
      </w:r>
      <w:r>
        <w:rPr>
          <w:rFonts w:hint="eastAsia" w:ascii="仿宋" w:hAnsi="仿宋" w:eastAsia="仿宋" w:cs="仿宋"/>
          <w:b/>
          <w:sz w:val="28"/>
          <w:szCs w:val="28"/>
          <w:highlight w:val="none"/>
          <w:bdr w:val="single" w:color="auto" w:sz="4" w:space="0"/>
          <w:lang w:val="en-US" w:eastAsia="zh-CN"/>
        </w:rPr>
        <w:t>5</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2</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12-2</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69E001FF">
      <w:pPr>
        <w:spacing w:line="360" w:lineRule="auto"/>
        <w:jc w:val="center"/>
        <w:rPr>
          <w:rFonts w:hint="default" w:ascii="仿宋" w:hAnsi="仿宋" w:eastAsia="仿宋" w:cs="仿宋"/>
          <w:b/>
          <w:kern w:val="0"/>
          <w:sz w:val="40"/>
          <w:szCs w:val="40"/>
          <w:highlight w:val="none"/>
          <w:lang w:val="en-US" w:eastAsia="zh-CN"/>
        </w:rPr>
      </w:pPr>
      <w:bookmarkStart w:id="4" w:name="OLE_LINK1"/>
      <w:r>
        <w:rPr>
          <w:rFonts w:hint="eastAsia" w:ascii="仿宋" w:hAnsi="仿宋" w:eastAsia="仿宋" w:cs="仿宋"/>
          <w:b/>
          <w:kern w:val="0"/>
          <w:sz w:val="40"/>
          <w:szCs w:val="40"/>
          <w:highlight w:val="none"/>
          <w:lang w:eastAsia="zh-CN"/>
        </w:rPr>
        <w:t>大竹县人民医院锐器盒等低值耗材采购项目</w:t>
      </w:r>
      <w:bookmarkEnd w:id="4"/>
      <w:r>
        <w:rPr>
          <w:rFonts w:hint="eastAsia" w:ascii="仿宋" w:hAnsi="仿宋" w:eastAsia="仿宋" w:cs="仿宋"/>
          <w:b/>
          <w:kern w:val="0"/>
          <w:sz w:val="40"/>
          <w:szCs w:val="40"/>
          <w:highlight w:val="none"/>
          <w:lang w:eastAsia="zh-CN"/>
        </w:rPr>
        <w:t>（</w:t>
      </w:r>
      <w:r>
        <w:rPr>
          <w:rFonts w:hint="eastAsia" w:ascii="仿宋" w:hAnsi="仿宋" w:eastAsia="仿宋" w:cs="仿宋"/>
          <w:b/>
          <w:kern w:val="0"/>
          <w:sz w:val="40"/>
          <w:szCs w:val="40"/>
          <w:highlight w:val="none"/>
          <w:lang w:val="en-US" w:eastAsia="zh-CN"/>
        </w:rPr>
        <w:t>第二次</w:t>
      </w:r>
      <w:r>
        <w:rPr>
          <w:rFonts w:hint="eastAsia" w:ascii="仿宋" w:hAnsi="仿宋" w:eastAsia="仿宋" w:cs="仿宋"/>
          <w:b/>
          <w:kern w:val="0"/>
          <w:sz w:val="40"/>
          <w:szCs w:val="40"/>
          <w:highlight w:val="none"/>
          <w:lang w:eastAsia="zh-CN"/>
        </w:rPr>
        <w:t>）</w:t>
      </w:r>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第八章 采购项目内容和要求                                     </w:t>
      </w:r>
      <w:r>
        <w:rPr>
          <w:rFonts w:hint="eastAsia" w:ascii="仿宋" w:hAnsi="仿宋" w:eastAsia="仿宋" w:cs="仿宋"/>
          <w:b/>
          <w:sz w:val="28"/>
          <w:szCs w:val="28"/>
          <w:highlight w:val="none"/>
          <w:lang w:val="en-US" w:eastAsia="zh-CN"/>
        </w:rPr>
        <w:t>16</w:t>
      </w:r>
    </w:p>
    <w:p w14:paraId="2CA4D348">
      <w:pPr>
        <w:spacing w:line="360" w:lineRule="auto"/>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 xml:space="preserve"> 31</w:t>
      </w:r>
    </w:p>
    <w:p w14:paraId="13EDB8BB">
      <w:pPr>
        <w:pStyle w:val="3"/>
        <w:spacing w:line="360" w:lineRule="auto"/>
        <w:ind w:firstLine="0" w:firstLineChars="0"/>
        <w:rPr>
          <w:rFonts w:ascii="仿宋" w:hAnsi="仿宋" w:eastAsia="仿宋" w:cs="仿宋"/>
          <w:highlight w:val="none"/>
        </w:rPr>
      </w:pPr>
    </w:p>
    <w:p w14:paraId="7D6B54AB">
      <w:pPr>
        <w:pStyle w:val="3"/>
        <w:spacing w:line="360" w:lineRule="auto"/>
        <w:ind w:firstLine="0" w:firstLineChars="0"/>
        <w:rPr>
          <w:rFonts w:ascii="仿宋" w:hAnsi="仿宋" w:eastAsia="仿宋" w:cs="仿宋"/>
          <w:highlight w:val="none"/>
        </w:rPr>
      </w:pPr>
    </w:p>
    <w:p w14:paraId="6D1DC3F0">
      <w:pPr>
        <w:pStyle w:val="3"/>
        <w:spacing w:line="360" w:lineRule="auto"/>
        <w:ind w:firstLine="0" w:firstLineChars="0"/>
        <w:rPr>
          <w:rFonts w:ascii="仿宋" w:hAnsi="仿宋" w:eastAsia="仿宋" w:cs="仿宋"/>
          <w:highlight w:val="none"/>
        </w:rPr>
      </w:pPr>
    </w:p>
    <w:p w14:paraId="544BA546">
      <w:pPr>
        <w:pStyle w:val="3"/>
        <w:spacing w:line="360" w:lineRule="auto"/>
        <w:ind w:firstLine="0" w:firstLineChars="0"/>
        <w:rPr>
          <w:rFonts w:ascii="仿宋" w:hAnsi="仿宋" w:eastAsia="仿宋" w:cs="仿宋"/>
          <w:highlight w:val="none"/>
        </w:rPr>
      </w:pPr>
    </w:p>
    <w:p w14:paraId="6FCF00B1">
      <w:pPr>
        <w:pStyle w:val="3"/>
        <w:spacing w:line="360" w:lineRule="auto"/>
        <w:ind w:firstLine="0" w:firstLineChars="0"/>
        <w:rPr>
          <w:rFonts w:ascii="仿宋" w:hAnsi="仿宋" w:eastAsia="仿宋" w:cs="仿宋"/>
          <w:highlight w:val="none"/>
        </w:rPr>
      </w:pPr>
    </w:p>
    <w:p w14:paraId="71FEBBA2">
      <w:pPr>
        <w:pStyle w:val="3"/>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院拟以遴选（遴选即我院自主独立采购，从参与我院组织的采购活动的供应商中按符合本文件全部要求的供应商中从优选择成交供应商）方式对《大竹县人民医院锐器盒等低值耗材采购项目(第二次）》组织采购，兹邀请符合本次遴选文件全部要求的供应商参与本遴选文件所配套的采购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12-2</w:t>
      </w:r>
      <w:r>
        <w:rPr>
          <w:rFonts w:hint="eastAsia" w:ascii="仿宋" w:hAnsi="仿宋" w:eastAsia="仿宋" w:cs="仿宋"/>
          <w:sz w:val="28"/>
          <w:szCs w:val="28"/>
          <w:highlight w:val="none"/>
          <w:lang w:eastAsia="zh-CN"/>
        </w:rPr>
        <w:t>】</w:t>
      </w:r>
    </w:p>
    <w:p w14:paraId="28FA732A">
      <w:pPr>
        <w:pStyle w:val="35"/>
        <w:spacing w:line="360" w:lineRule="auto"/>
        <w:ind w:firstLine="562"/>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：大竹县人民医院锐器盒等低值耗材采购项目</w:t>
      </w:r>
      <w:r>
        <w:rPr>
          <w:rFonts w:hint="eastAsia" w:ascii="仿宋" w:hAnsi="仿宋" w:eastAsia="仿宋" w:cs="仿宋"/>
          <w:kern w:val="2"/>
          <w:sz w:val="28"/>
          <w:szCs w:val="28"/>
          <w:highlight w:val="none"/>
          <w:lang w:val="en-US" w:eastAsia="zh-CN" w:bidi="ar-SA"/>
        </w:rPr>
        <w:t>(第二次）</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2</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25</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2</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26</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5</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2</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28</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6175"/>
      <w:bookmarkStart w:id="6" w:name="_Toc350864515"/>
      <w:bookmarkStart w:id="7" w:name="_Toc193105918"/>
      <w:bookmarkStart w:id="8" w:name="_Toc193106064"/>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12-2</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kern w:val="2"/>
                <w:sz w:val="28"/>
                <w:szCs w:val="28"/>
                <w:highlight w:val="none"/>
                <w:lang w:val="en-US" w:eastAsia="zh-CN" w:bidi="ar-SA"/>
              </w:rPr>
              <w:t>大竹县人民医院锐器盒等低值耗材采购项目（第二次）</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_GB2312" w:hAnsi="仿宋_GB2312" w:eastAsia="仿宋_GB2312" w:cs="仿宋_GB2312"/>
                <w:b w:val="0"/>
                <w:bCs w:val="0"/>
                <w:sz w:val="28"/>
                <w:szCs w:val="28"/>
                <w:lang w:val="en-US" w:eastAsia="zh-CN"/>
              </w:rPr>
              <w:t>119391元</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b w:val="0"/>
                <w:bCs w:val="0"/>
                <w:color w:val="000000" w:themeColor="text1"/>
                <w:sz w:val="28"/>
                <w:szCs w:val="28"/>
                <w:highlight w:val="none"/>
                <w:u w:val="none"/>
                <w14:textFill>
                  <w14:solidFill>
                    <w14:schemeClr w14:val="tx1"/>
                  </w14:solidFill>
                </w14:textFill>
              </w:rPr>
              <w:t>人民币</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壹拾壹万玖仟叁佰玖拾壹元整</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w:t>
            </w:r>
            <w:r>
              <w:rPr>
                <w:rFonts w:hint="eastAsia" w:ascii="仿宋" w:hAnsi="仿宋" w:eastAsia="仿宋" w:cs="仿宋"/>
                <w:sz w:val="28"/>
                <w:szCs w:val="28"/>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7"/>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3"/>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3106065"/>
      <w:bookmarkStart w:id="13" w:name="_Toc350864517"/>
      <w:bookmarkStart w:id="14" w:name="_Toc193106176"/>
      <w:bookmarkStart w:id="15" w:name="_Toc192318708"/>
      <w:bookmarkStart w:id="16" w:name="_Toc192318381"/>
      <w:bookmarkStart w:id="17" w:name="_Toc193105919"/>
      <w:bookmarkStart w:id="18" w:name="_Toc192318461"/>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314AEF27">
      <w:pPr>
        <w:pStyle w:val="40"/>
        <w:spacing w:line="360" w:lineRule="auto"/>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i w:val="0"/>
          <w:iCs w:val="0"/>
          <w:caps w:val="0"/>
          <w:color w:val="222222"/>
          <w:spacing w:val="0"/>
          <w:sz w:val="32"/>
          <w:szCs w:val="32"/>
          <w:vertAlign w:val="baseline"/>
        </w:rPr>
        <w:t>大竹县人民医院</w:t>
      </w:r>
      <w:r>
        <w:rPr>
          <w:rFonts w:hint="eastAsia" w:ascii="方正公文小标宋" w:hAnsi="方正公文小标宋" w:eastAsia="方正公文小标宋" w:cs="方正公文小标宋"/>
          <w:i w:val="0"/>
          <w:iCs w:val="0"/>
          <w:caps w:val="0"/>
          <w:color w:val="222222"/>
          <w:spacing w:val="0"/>
          <w:sz w:val="32"/>
          <w:szCs w:val="32"/>
          <w:vertAlign w:val="baseline"/>
          <w:lang w:val="en-US" w:eastAsia="zh-CN"/>
        </w:rPr>
        <w:t>锐器盒等低值耗材采购项目（第二次</w:t>
      </w:r>
      <w:bookmarkStart w:id="24" w:name="_GoBack"/>
      <w:bookmarkEnd w:id="24"/>
      <w:r>
        <w:rPr>
          <w:rFonts w:hint="eastAsia" w:ascii="方正公文小标宋" w:hAnsi="方正公文小标宋" w:eastAsia="方正公文小标宋" w:cs="方正公文小标宋"/>
          <w:i w:val="0"/>
          <w:iCs w:val="0"/>
          <w:caps w:val="0"/>
          <w:color w:val="222222"/>
          <w:spacing w:val="0"/>
          <w:sz w:val="32"/>
          <w:szCs w:val="32"/>
          <w:vertAlign w:val="baseline"/>
          <w:lang w:val="en-US" w:eastAsia="zh-CN"/>
        </w:rPr>
        <w:t>）</w:t>
      </w:r>
    </w:p>
    <w:p w14:paraId="108227FF">
      <w:pPr>
        <w:pStyle w:val="13"/>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5"/>
        <w:jc w:val="both"/>
        <w:textAlignment w:val="baseline"/>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 xml:space="preserve">项目概述 </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技术要求</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w:t>
      </w:r>
    </w:p>
    <w:p w14:paraId="07C9AACB">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firstLine="560" w:firstLineChars="200"/>
        <w:jc w:val="both"/>
        <w:textAlignment w:val="baseline"/>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vertAlign w:val="baseline"/>
        </w:rPr>
        <w:t>大竹县人民医院是集医疗、教学、科研、预防保健为一体的国家三级甲等综合医院。全院现有需配送货物的区域工作业务用房建筑面82313.13平方米，共计63个科室。</w:t>
      </w:r>
    </w:p>
    <w:p w14:paraId="67FC0ED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560" w:firstLineChars="200"/>
        <w:jc w:val="both"/>
        <w:textAlignment w:val="baseline"/>
        <w:rPr>
          <w:rFonts w:hint="eastAsia" w:ascii="仿宋_GB2312" w:hAnsi="仿宋_GB2312" w:eastAsia="仿宋_GB2312" w:cs="仿宋_GB2312"/>
          <w:i w:val="0"/>
          <w:iCs w:val="0"/>
          <w:caps w:val="0"/>
          <w:color w:val="222222"/>
          <w:spacing w:val="0"/>
          <w:sz w:val="28"/>
          <w:szCs w:val="28"/>
          <w:u w:val="none"/>
        </w:rPr>
      </w:pPr>
      <w:r>
        <w:rPr>
          <w:rFonts w:hint="eastAsia" w:ascii="仿宋_GB2312" w:hAnsi="仿宋_GB2312" w:eastAsia="仿宋_GB2312" w:cs="仿宋_GB2312"/>
          <w:i w:val="0"/>
          <w:iCs w:val="0"/>
          <w:caps w:val="0"/>
          <w:color w:val="222222"/>
          <w:spacing w:val="0"/>
          <w:sz w:val="28"/>
          <w:szCs w:val="28"/>
          <w:vertAlign w:val="baseline"/>
        </w:rPr>
        <w:t>本项目为零星分批采购，并非一次性采购全部货物。在项目履行期内医院根据业务开展需要，不定期地采购货物。</w:t>
      </w:r>
      <w:r>
        <w:rPr>
          <w:rFonts w:hint="eastAsia" w:ascii="仿宋_GB2312" w:hAnsi="仿宋_GB2312" w:eastAsia="仿宋_GB2312" w:cs="仿宋_GB2312"/>
          <w:i w:val="0"/>
          <w:iCs w:val="0"/>
          <w:caps w:val="0"/>
          <w:color w:val="222222"/>
          <w:spacing w:val="0"/>
          <w:sz w:val="28"/>
          <w:szCs w:val="28"/>
          <w:u w:val="none"/>
          <w:vertAlign w:val="baseline"/>
        </w:rPr>
        <w:t>供应商自行考虑批发与零售价格的区别。采用固定货物单价、每月根据货物实际消耗数量，据实结算金额的方式进行支付。</w:t>
      </w:r>
    </w:p>
    <w:p w14:paraId="60BFA2E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560" w:firstLineChars="200"/>
        <w:jc w:val="both"/>
        <w:textAlignment w:val="baseline"/>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u w:val="none"/>
          <w:vertAlign w:val="baseline"/>
        </w:rPr>
        <w:t>日常供货方式，供应商在接我院通知后，72小时内将当批次货物送货上楼到我院院内指定地点。</w:t>
      </w:r>
      <w:r>
        <w:rPr>
          <w:rFonts w:hint="eastAsia" w:ascii="仿宋_GB2312" w:hAnsi="仿宋_GB2312" w:eastAsia="仿宋_GB2312" w:cs="仿宋_GB2312"/>
          <w:i w:val="0"/>
          <w:iCs w:val="0"/>
          <w:caps w:val="0"/>
          <w:color w:val="222222"/>
          <w:spacing w:val="0"/>
          <w:sz w:val="28"/>
          <w:szCs w:val="28"/>
          <w:vertAlign w:val="baseline"/>
        </w:rPr>
        <w:t>供应商承担货物搬运上楼费用，供应商服务区域涉及总务库房（3楼、步梯）、门诊大楼（10层、可用1部电梯）、内科大楼（14层、可用1部电梯搬货）、外科大楼（19层、可用1部电梯搬货）、感染科楼、发热门诊等。</w:t>
      </w:r>
    </w:p>
    <w:p w14:paraId="6197BA4B">
      <w:pPr>
        <w:spacing w:line="360" w:lineRule="auto"/>
        <w:ind w:right="31" w:rightChars="15" w:firstLine="560"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本项目采购总预算为：</w:t>
      </w:r>
      <w:r>
        <w:rPr>
          <w:rFonts w:hint="eastAsia" w:ascii="仿宋_GB2312" w:hAnsi="仿宋_GB2312" w:eastAsia="仿宋_GB2312" w:cs="仿宋_GB2312"/>
          <w:b w:val="0"/>
          <w:bCs w:val="0"/>
          <w:sz w:val="28"/>
          <w:szCs w:val="28"/>
          <w:lang w:val="en-US" w:eastAsia="zh-CN"/>
        </w:rPr>
        <w:t>119391元</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b w:val="0"/>
          <w:bCs w:val="0"/>
          <w:color w:val="000000" w:themeColor="text1"/>
          <w:sz w:val="28"/>
          <w:szCs w:val="28"/>
          <w:highlight w:val="none"/>
          <w:u w:val="none"/>
          <w14:textFill>
            <w14:solidFill>
              <w14:schemeClr w14:val="tx1"/>
            </w14:solidFill>
          </w14:textFill>
        </w:rPr>
        <w:t>人民币</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壹拾壹万玖仟叁佰玖拾壹元整</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 xml:space="preserve"> </w:t>
      </w:r>
    </w:p>
    <w:p w14:paraId="25AFFB7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555"/>
        <w:jc w:val="both"/>
        <w:textAlignment w:val="baseline"/>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i w:val="0"/>
          <w:iCs w:val="0"/>
          <w:caps w:val="0"/>
          <w:color w:val="222222"/>
          <w:spacing w:val="0"/>
          <w:sz w:val="28"/>
          <w:szCs w:val="28"/>
          <w:vertAlign w:val="baseline"/>
        </w:rPr>
        <w:t>供应商的报价为包干价，供应商的报价是供应商响应本项目内容、范围、要求等全部工作的价格体现，包括供应商完成本项目所需的一切费用，包括且不限于：货物、人工费用、运输费、搬运费、运损费、税费等满足本项目需求的全部费用。</w:t>
      </w:r>
    </w:p>
    <w:p w14:paraId="60D44BF7">
      <w:pPr>
        <w:pStyle w:val="43"/>
        <w:widowControl/>
        <w:numPr>
          <w:ilvl w:val="0"/>
          <w:numId w:val="8"/>
        </w:numPr>
        <w:spacing w:line="360" w:lineRule="auto"/>
        <w:ind w:left="0" w:leftChars="0" w:firstLine="645" w:firstLineChars="0"/>
        <w:jc w:val="left"/>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采购标的</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技术要求</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w:t>
      </w:r>
    </w:p>
    <w:p w14:paraId="1CEC0914">
      <w:pPr>
        <w:pStyle w:val="35"/>
        <w:keepNext w:val="0"/>
        <w:keepLines w:val="0"/>
        <w:pageBreakBefore w:val="0"/>
        <w:widowControl w:val="0"/>
        <w:kinsoku/>
        <w:wordWrap/>
        <w:overflowPunct/>
        <w:topLinePunct w:val="0"/>
        <w:autoSpaceDE/>
        <w:autoSpaceDN/>
        <w:bidi w:val="0"/>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供应商应将合格货物按时配送到采购人院区内指定地点，</w:t>
      </w:r>
      <w:r>
        <w:rPr>
          <w:rFonts w:hint="eastAsia" w:ascii="仿宋_GB2312" w:hAnsi="仿宋_GB2312" w:eastAsia="仿宋_GB2312" w:cs="仿宋_GB2312"/>
          <w:color w:val="auto"/>
          <w:sz w:val="28"/>
          <w:szCs w:val="28"/>
          <w:lang w:val="en-US" w:eastAsia="zh-CN"/>
        </w:rPr>
        <w:t>承担搬运上楼费用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同时根据采购人需要提供货物相应配套服务，对破损的货物包退换，不再额外收取费用。</w:t>
      </w:r>
    </w:p>
    <w:tbl>
      <w:tblPr>
        <w:tblStyle w:val="15"/>
        <w:tblpPr w:leftFromText="180" w:rightFromText="180" w:vertAnchor="text" w:horzAnchor="page" w:tblpX="1285" w:tblpY="594"/>
        <w:tblOverlap w:val="never"/>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28"/>
        <w:gridCol w:w="5187"/>
        <w:gridCol w:w="888"/>
        <w:gridCol w:w="1242"/>
      </w:tblGrid>
      <w:tr w14:paraId="198A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08" w:type="dxa"/>
            <w:vAlign w:val="center"/>
          </w:tcPr>
          <w:p w14:paraId="45095051">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1428" w:type="dxa"/>
            <w:vAlign w:val="center"/>
          </w:tcPr>
          <w:p w14:paraId="50021AF3">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   名</w:t>
            </w:r>
          </w:p>
        </w:tc>
        <w:tc>
          <w:tcPr>
            <w:tcW w:w="5187" w:type="dxa"/>
            <w:vAlign w:val="center"/>
          </w:tcPr>
          <w:p w14:paraId="0C0E969D">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主要技术要求</w:t>
            </w:r>
          </w:p>
        </w:tc>
        <w:tc>
          <w:tcPr>
            <w:tcW w:w="888" w:type="dxa"/>
            <w:vAlign w:val="center"/>
          </w:tcPr>
          <w:p w14:paraId="655F72FE">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计价</w:t>
            </w:r>
            <w:r>
              <w:rPr>
                <w:rFonts w:hint="eastAsia" w:ascii="仿宋_GB2312" w:hAnsi="仿宋_GB2312" w:eastAsia="仿宋_GB2312" w:cs="仿宋_GB2312"/>
                <w:sz w:val="28"/>
                <w:szCs w:val="28"/>
              </w:rPr>
              <w:t>单位</w:t>
            </w:r>
          </w:p>
        </w:tc>
        <w:tc>
          <w:tcPr>
            <w:tcW w:w="1242" w:type="dxa"/>
            <w:vAlign w:val="center"/>
          </w:tcPr>
          <w:p w14:paraId="6784CB41">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单价最高限价（元）</w:t>
            </w:r>
          </w:p>
        </w:tc>
      </w:tr>
      <w:tr w14:paraId="38FF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3F193A35">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p>
        </w:tc>
        <w:tc>
          <w:tcPr>
            <w:tcW w:w="1428" w:type="dxa"/>
            <w:vAlign w:val="center"/>
          </w:tcPr>
          <w:p w14:paraId="75B8433A">
            <w:p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0.5升圆形锐器盒</w:t>
            </w:r>
          </w:p>
        </w:tc>
        <w:tc>
          <w:tcPr>
            <w:tcW w:w="5187" w:type="dxa"/>
            <w:vAlign w:val="center"/>
          </w:tcPr>
          <w:p w14:paraId="787ED1D0">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盒体由黄红双色组成。盒体为上宽下窄的圆杯状，可放置于酒精瓶架内。</w:t>
            </w:r>
          </w:p>
          <w:p w14:paraId="3701B430">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该锐器盒在满足有效容积≥0.5升的情况下，允许高103mm（允许±10mm）、 最宽处直径74mm（允许±10mm） 、 最窄处直径50mm（允许±10mm）。</w:t>
            </w:r>
          </w:p>
          <w:p w14:paraId="3B6A2FE2">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该锐器盒必须采用全新的聚丙烯塑料（PP）制造而成，必须符合</w:t>
            </w:r>
            <w:r>
              <w:rPr>
                <w:rFonts w:hint="eastAsia" w:ascii="仿宋_GB2312" w:hAnsi="仿宋_GB2312" w:eastAsia="仿宋_GB2312" w:cs="仿宋_GB2312"/>
                <w:b w:val="0"/>
                <w:bCs w:val="0"/>
                <w:sz w:val="28"/>
                <w:szCs w:val="28"/>
              </w:rPr>
              <w:t>国家环境保护总局/卫生部发布HJ421-2008《医疗废物专用包装袋、</w:t>
            </w:r>
            <w:r>
              <w:rPr>
                <w:rFonts w:hint="eastAsia" w:ascii="仿宋_GB2312" w:hAnsi="仿宋_GB2312" w:eastAsia="仿宋_GB2312" w:cs="仿宋_GB2312"/>
                <w:b w:val="0"/>
                <w:bCs w:val="0"/>
                <w:sz w:val="28"/>
                <w:szCs w:val="28"/>
                <w:lang w:eastAsia="zh-CN"/>
              </w:rPr>
              <w:t>锐器盒</w:t>
            </w:r>
            <w:r>
              <w:rPr>
                <w:rFonts w:hint="eastAsia" w:ascii="仿宋_GB2312" w:hAnsi="仿宋_GB2312" w:eastAsia="仿宋_GB2312" w:cs="仿宋_GB2312"/>
                <w:b w:val="0"/>
                <w:bCs w:val="0"/>
                <w:sz w:val="28"/>
                <w:szCs w:val="28"/>
              </w:rPr>
              <w:t>警示</w:t>
            </w:r>
            <w:r>
              <w:rPr>
                <w:rFonts w:hint="eastAsia" w:ascii="仿宋_GB2312" w:hAnsi="仿宋_GB2312" w:eastAsia="仿宋_GB2312" w:cs="仿宋_GB2312"/>
                <w:b w:val="0"/>
                <w:bCs w:val="0"/>
                <w:sz w:val="28"/>
                <w:szCs w:val="28"/>
                <w:lang w:val="en-US" w:eastAsia="zh-CN"/>
              </w:rPr>
              <w:t>标志</w:t>
            </w:r>
            <w:r>
              <w:rPr>
                <w:rFonts w:hint="eastAsia" w:ascii="仿宋_GB2312" w:hAnsi="仿宋_GB2312" w:eastAsia="仿宋_GB2312" w:cs="仿宋_GB2312"/>
                <w:b w:val="0"/>
                <w:bCs w:val="0"/>
                <w:sz w:val="28"/>
                <w:szCs w:val="28"/>
              </w:rPr>
              <w:t>标准》</w:t>
            </w:r>
            <w:r>
              <w:rPr>
                <w:rFonts w:hint="eastAsia" w:ascii="仿宋_GB2312" w:hAnsi="仿宋_GB2312" w:eastAsia="仿宋_GB2312" w:cs="仿宋_GB2312"/>
                <w:b w:val="0"/>
                <w:bCs w:val="0"/>
                <w:sz w:val="28"/>
                <w:szCs w:val="28"/>
                <w:lang w:val="en-US" w:eastAsia="zh-CN"/>
              </w:rPr>
              <w:t>的要求</w:t>
            </w:r>
            <w:r>
              <w:rPr>
                <w:rFonts w:hint="eastAsia" w:ascii="仿宋_GB2312" w:hAnsi="仿宋_GB2312" w:eastAsia="仿宋_GB2312" w:cs="仿宋_GB2312"/>
                <w:b w:val="0"/>
                <w:bCs w:val="0"/>
                <w:sz w:val="28"/>
                <w:szCs w:val="28"/>
                <w:lang w:eastAsia="zh-CN"/>
              </w:rPr>
              <w:t>。</w:t>
            </w:r>
          </w:p>
        </w:tc>
        <w:tc>
          <w:tcPr>
            <w:tcW w:w="888" w:type="dxa"/>
            <w:vAlign w:val="center"/>
          </w:tcPr>
          <w:p w14:paraId="38903B6E">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3380BBB7">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0.95</w:t>
            </w:r>
          </w:p>
        </w:tc>
      </w:tr>
      <w:tr w14:paraId="1D32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5C6F575B">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p>
        </w:tc>
        <w:tc>
          <w:tcPr>
            <w:tcW w:w="1428" w:type="dxa"/>
            <w:vAlign w:val="center"/>
          </w:tcPr>
          <w:p w14:paraId="5A5E791D">
            <w:p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2升圆形锐器盒</w:t>
            </w:r>
            <w:r>
              <w:rPr>
                <w:rFonts w:hint="eastAsia" w:ascii="仿宋_GB2312" w:hAnsi="仿宋_GB2312" w:eastAsia="仿宋_GB2312" w:cs="仿宋_GB2312"/>
                <w:b w:val="0"/>
                <w:bCs w:val="0"/>
                <w:sz w:val="28"/>
                <w:szCs w:val="28"/>
                <w:lang w:val="en-US" w:eastAsia="zh-CN"/>
              </w:rPr>
              <w:drawing>
                <wp:inline distT="0" distB="0" distL="114300" distR="114300">
                  <wp:extent cx="769620" cy="628015"/>
                  <wp:effectExtent l="0" t="0" r="11430" b="635"/>
                  <wp:docPr id="1" name="图片 1" descr="微信图片_2023031709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17092901"/>
                          <pic:cNvPicPr>
                            <a:picLocks noChangeAspect="1"/>
                          </pic:cNvPicPr>
                        </pic:nvPicPr>
                        <pic:blipFill>
                          <a:blip r:embed="rId12"/>
                          <a:stretch>
                            <a:fillRect/>
                          </a:stretch>
                        </pic:blipFill>
                        <pic:spPr>
                          <a:xfrm>
                            <a:off x="0" y="0"/>
                            <a:ext cx="769620" cy="628015"/>
                          </a:xfrm>
                          <a:prstGeom prst="rect">
                            <a:avLst/>
                          </a:prstGeom>
                        </pic:spPr>
                      </pic:pic>
                    </a:graphicData>
                  </a:graphic>
                </wp:inline>
              </w:drawing>
            </w:r>
          </w:p>
        </w:tc>
        <w:tc>
          <w:tcPr>
            <w:tcW w:w="5187" w:type="dxa"/>
            <w:vAlign w:val="center"/>
          </w:tcPr>
          <w:p w14:paraId="4252BC74">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盒体由黄红双色组成，盒体为上宽下窄的圆柱体状，可放置于护理推车锐器盒架内。</w:t>
            </w:r>
          </w:p>
          <w:p w14:paraId="287776D5">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该锐器盒在满足有效容积≥2升的情况下，允许高150mm（允许±10mm）、 最宽处直径136mm（允许±10mm）。</w:t>
            </w:r>
          </w:p>
          <w:p w14:paraId="59902762">
            <w:pPr>
              <w:pStyle w:val="2"/>
              <w:spacing w:line="24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该锐器盒必须采用全新的聚丙烯塑料（PP）制造而成，必须符合</w:t>
            </w:r>
            <w:r>
              <w:rPr>
                <w:rFonts w:hint="eastAsia" w:ascii="仿宋_GB2312" w:hAnsi="仿宋_GB2312" w:eastAsia="仿宋_GB2312" w:cs="仿宋_GB2312"/>
                <w:b w:val="0"/>
                <w:bCs w:val="0"/>
                <w:sz w:val="28"/>
                <w:szCs w:val="28"/>
              </w:rPr>
              <w:t>国家环境保护总局/卫生部发布HJ421-2008《医疗废物专用包装袋、</w:t>
            </w:r>
            <w:r>
              <w:rPr>
                <w:rFonts w:hint="eastAsia" w:ascii="仿宋_GB2312" w:hAnsi="仿宋_GB2312" w:eastAsia="仿宋_GB2312" w:cs="仿宋_GB2312"/>
                <w:b w:val="0"/>
                <w:bCs w:val="0"/>
                <w:sz w:val="28"/>
                <w:szCs w:val="28"/>
                <w:lang w:eastAsia="zh-CN"/>
              </w:rPr>
              <w:t>锐器盒</w:t>
            </w:r>
            <w:r>
              <w:rPr>
                <w:rFonts w:hint="eastAsia" w:ascii="仿宋_GB2312" w:hAnsi="仿宋_GB2312" w:eastAsia="仿宋_GB2312" w:cs="仿宋_GB2312"/>
                <w:b w:val="0"/>
                <w:bCs w:val="0"/>
                <w:sz w:val="28"/>
                <w:szCs w:val="28"/>
              </w:rPr>
              <w:t>警示</w:t>
            </w:r>
            <w:r>
              <w:rPr>
                <w:rFonts w:hint="eastAsia" w:ascii="仿宋_GB2312" w:hAnsi="仿宋_GB2312" w:eastAsia="仿宋_GB2312" w:cs="仿宋_GB2312"/>
                <w:b w:val="0"/>
                <w:bCs w:val="0"/>
                <w:sz w:val="28"/>
                <w:szCs w:val="28"/>
                <w:lang w:val="en-US" w:eastAsia="zh-CN"/>
              </w:rPr>
              <w:t>标志</w:t>
            </w:r>
            <w:r>
              <w:rPr>
                <w:rFonts w:hint="eastAsia" w:ascii="仿宋_GB2312" w:hAnsi="仿宋_GB2312" w:eastAsia="仿宋_GB2312" w:cs="仿宋_GB2312"/>
                <w:b w:val="0"/>
                <w:bCs w:val="0"/>
                <w:sz w:val="28"/>
                <w:szCs w:val="28"/>
              </w:rPr>
              <w:t>标准》</w:t>
            </w:r>
            <w:r>
              <w:rPr>
                <w:rFonts w:hint="eastAsia" w:ascii="仿宋_GB2312" w:hAnsi="仿宋_GB2312" w:eastAsia="仿宋_GB2312" w:cs="仿宋_GB2312"/>
                <w:b w:val="0"/>
                <w:bCs w:val="0"/>
                <w:sz w:val="28"/>
                <w:szCs w:val="28"/>
                <w:lang w:val="en-US" w:eastAsia="zh-CN"/>
              </w:rPr>
              <w:t>的要求</w:t>
            </w:r>
            <w:r>
              <w:rPr>
                <w:rFonts w:hint="eastAsia" w:ascii="仿宋_GB2312" w:hAnsi="仿宋_GB2312" w:eastAsia="仿宋_GB2312" w:cs="仿宋_GB2312"/>
                <w:b w:val="0"/>
                <w:bCs w:val="0"/>
                <w:sz w:val="28"/>
                <w:szCs w:val="28"/>
                <w:lang w:eastAsia="zh-CN"/>
              </w:rPr>
              <w:t>。</w:t>
            </w:r>
          </w:p>
        </w:tc>
        <w:tc>
          <w:tcPr>
            <w:tcW w:w="888" w:type="dxa"/>
            <w:vAlign w:val="center"/>
          </w:tcPr>
          <w:p w14:paraId="204476B8">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24C547EB">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2.95</w:t>
            </w:r>
          </w:p>
        </w:tc>
      </w:tr>
      <w:tr w14:paraId="5749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4F05009F">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p>
        </w:tc>
        <w:tc>
          <w:tcPr>
            <w:tcW w:w="1428" w:type="dxa"/>
            <w:vAlign w:val="center"/>
          </w:tcPr>
          <w:p w14:paraId="12FB9F25">
            <w:p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3升圆形锐器盒</w:t>
            </w:r>
            <w:r>
              <w:rPr>
                <w:rFonts w:hint="eastAsia" w:ascii="仿宋_GB2312" w:hAnsi="仿宋_GB2312" w:eastAsia="仿宋_GB2312" w:cs="仿宋_GB2312"/>
                <w:b w:val="0"/>
                <w:bCs w:val="0"/>
                <w:sz w:val="28"/>
                <w:szCs w:val="28"/>
                <w:lang w:val="en-US" w:eastAsia="zh-CN"/>
              </w:rPr>
              <w:drawing>
                <wp:inline distT="0" distB="0" distL="114300" distR="114300">
                  <wp:extent cx="769620" cy="628015"/>
                  <wp:effectExtent l="0" t="0" r="11430" b="635"/>
                  <wp:docPr id="6" name="图片 6" descr="微信图片_2023031709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317092901"/>
                          <pic:cNvPicPr>
                            <a:picLocks noChangeAspect="1"/>
                          </pic:cNvPicPr>
                        </pic:nvPicPr>
                        <pic:blipFill>
                          <a:blip r:embed="rId12"/>
                          <a:stretch>
                            <a:fillRect/>
                          </a:stretch>
                        </pic:blipFill>
                        <pic:spPr>
                          <a:xfrm>
                            <a:off x="0" y="0"/>
                            <a:ext cx="769620" cy="628015"/>
                          </a:xfrm>
                          <a:prstGeom prst="rect">
                            <a:avLst/>
                          </a:prstGeom>
                        </pic:spPr>
                      </pic:pic>
                    </a:graphicData>
                  </a:graphic>
                </wp:inline>
              </w:drawing>
            </w:r>
          </w:p>
        </w:tc>
        <w:tc>
          <w:tcPr>
            <w:tcW w:w="5187" w:type="dxa"/>
            <w:vAlign w:val="center"/>
          </w:tcPr>
          <w:p w14:paraId="2F8FC101">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盒体由黄红双色组成，盒体为上宽下窄的圆柱体状，可放置于护理推车锐器盒架内。</w:t>
            </w:r>
          </w:p>
          <w:p w14:paraId="4134490B">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该锐器盒在满足有效容积≥3升的情况下，允许高185mm（允许±10mm）、 最宽处直径170mm（允许±10mm）。</w:t>
            </w:r>
          </w:p>
          <w:p w14:paraId="5817FBE5">
            <w:pPr>
              <w:pStyle w:val="2"/>
              <w:spacing w:line="24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该锐器盒必须采用全新的聚丙烯塑料（PP）制造而成，必须符合</w:t>
            </w:r>
            <w:r>
              <w:rPr>
                <w:rFonts w:hint="eastAsia" w:ascii="仿宋_GB2312" w:hAnsi="仿宋_GB2312" w:eastAsia="仿宋_GB2312" w:cs="仿宋_GB2312"/>
                <w:b w:val="0"/>
                <w:bCs w:val="0"/>
                <w:sz w:val="28"/>
                <w:szCs w:val="28"/>
              </w:rPr>
              <w:t>国家环境保护总局/卫生部发布HJ421-2008《医疗废物专用包装袋、</w:t>
            </w:r>
            <w:r>
              <w:rPr>
                <w:rFonts w:hint="eastAsia" w:ascii="仿宋_GB2312" w:hAnsi="仿宋_GB2312" w:eastAsia="仿宋_GB2312" w:cs="仿宋_GB2312"/>
                <w:b w:val="0"/>
                <w:bCs w:val="0"/>
                <w:sz w:val="28"/>
                <w:szCs w:val="28"/>
                <w:lang w:eastAsia="zh-CN"/>
              </w:rPr>
              <w:t>锐器盒</w:t>
            </w:r>
            <w:r>
              <w:rPr>
                <w:rFonts w:hint="eastAsia" w:ascii="仿宋_GB2312" w:hAnsi="仿宋_GB2312" w:eastAsia="仿宋_GB2312" w:cs="仿宋_GB2312"/>
                <w:b w:val="0"/>
                <w:bCs w:val="0"/>
                <w:sz w:val="28"/>
                <w:szCs w:val="28"/>
              </w:rPr>
              <w:t>警示</w:t>
            </w:r>
            <w:r>
              <w:rPr>
                <w:rFonts w:hint="eastAsia" w:ascii="仿宋_GB2312" w:hAnsi="仿宋_GB2312" w:eastAsia="仿宋_GB2312" w:cs="仿宋_GB2312"/>
                <w:b w:val="0"/>
                <w:bCs w:val="0"/>
                <w:sz w:val="28"/>
                <w:szCs w:val="28"/>
                <w:lang w:val="en-US" w:eastAsia="zh-CN"/>
              </w:rPr>
              <w:t>标志</w:t>
            </w:r>
            <w:r>
              <w:rPr>
                <w:rFonts w:hint="eastAsia" w:ascii="仿宋_GB2312" w:hAnsi="仿宋_GB2312" w:eastAsia="仿宋_GB2312" w:cs="仿宋_GB2312"/>
                <w:b w:val="0"/>
                <w:bCs w:val="0"/>
                <w:sz w:val="28"/>
                <w:szCs w:val="28"/>
              </w:rPr>
              <w:t>标准》</w:t>
            </w:r>
            <w:r>
              <w:rPr>
                <w:rFonts w:hint="eastAsia" w:ascii="仿宋_GB2312" w:hAnsi="仿宋_GB2312" w:eastAsia="仿宋_GB2312" w:cs="仿宋_GB2312"/>
                <w:b w:val="0"/>
                <w:bCs w:val="0"/>
                <w:sz w:val="28"/>
                <w:szCs w:val="28"/>
                <w:lang w:val="en-US" w:eastAsia="zh-CN"/>
              </w:rPr>
              <w:t>的要求</w:t>
            </w:r>
            <w:r>
              <w:rPr>
                <w:rFonts w:hint="eastAsia" w:ascii="仿宋_GB2312" w:hAnsi="仿宋_GB2312" w:eastAsia="仿宋_GB2312" w:cs="仿宋_GB2312"/>
                <w:b w:val="0"/>
                <w:bCs w:val="0"/>
                <w:sz w:val="28"/>
                <w:szCs w:val="28"/>
                <w:lang w:eastAsia="zh-CN"/>
              </w:rPr>
              <w:t>。</w:t>
            </w:r>
          </w:p>
        </w:tc>
        <w:tc>
          <w:tcPr>
            <w:tcW w:w="888" w:type="dxa"/>
            <w:vAlign w:val="center"/>
          </w:tcPr>
          <w:p w14:paraId="60FC550F">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328ED4E7">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3.7</w:t>
            </w:r>
          </w:p>
        </w:tc>
      </w:tr>
      <w:tr w14:paraId="43ED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537C2638">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w:t>
            </w:r>
          </w:p>
        </w:tc>
        <w:tc>
          <w:tcPr>
            <w:tcW w:w="1428" w:type="dxa"/>
            <w:vAlign w:val="center"/>
          </w:tcPr>
          <w:p w14:paraId="3DFC5E30">
            <w:pPr>
              <w:spacing w:line="240" w:lineRule="auto"/>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8升方形锐器盒</w:t>
            </w:r>
          </w:p>
        </w:tc>
        <w:tc>
          <w:tcPr>
            <w:tcW w:w="5187" w:type="dxa"/>
            <w:vAlign w:val="center"/>
          </w:tcPr>
          <w:p w14:paraId="15F38CAF">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盒体由黄红双色组成，盒体为上宽下窄的长方体状，可放置于护理推车内。</w:t>
            </w:r>
          </w:p>
          <w:p w14:paraId="4E0F2385">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该锐器盒在满足有效容积≥8升的情况下，允许高165mm（允许±15mm）、长度300mm（允许±15mm）、 最宽处直径210mm（允许±15mm）。</w:t>
            </w:r>
          </w:p>
          <w:p w14:paraId="5B02B220">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该锐器盒必须采用全新的聚丙烯塑料（PP）制造而成，必须符合</w:t>
            </w:r>
            <w:r>
              <w:rPr>
                <w:rFonts w:hint="eastAsia" w:ascii="仿宋_GB2312" w:hAnsi="仿宋_GB2312" w:eastAsia="仿宋_GB2312" w:cs="仿宋_GB2312"/>
                <w:b w:val="0"/>
                <w:bCs w:val="0"/>
                <w:sz w:val="28"/>
                <w:szCs w:val="28"/>
              </w:rPr>
              <w:t>国家环境保护总局/卫生部发布HJ421-2008《医疗废物专用包装袋、</w:t>
            </w:r>
            <w:r>
              <w:rPr>
                <w:rFonts w:hint="eastAsia" w:ascii="仿宋_GB2312" w:hAnsi="仿宋_GB2312" w:eastAsia="仿宋_GB2312" w:cs="仿宋_GB2312"/>
                <w:b w:val="0"/>
                <w:bCs w:val="0"/>
                <w:sz w:val="28"/>
                <w:szCs w:val="28"/>
                <w:lang w:eastAsia="zh-CN"/>
              </w:rPr>
              <w:t>锐器盒</w:t>
            </w:r>
            <w:r>
              <w:rPr>
                <w:rFonts w:hint="eastAsia" w:ascii="仿宋_GB2312" w:hAnsi="仿宋_GB2312" w:eastAsia="仿宋_GB2312" w:cs="仿宋_GB2312"/>
                <w:b w:val="0"/>
                <w:bCs w:val="0"/>
                <w:sz w:val="28"/>
                <w:szCs w:val="28"/>
              </w:rPr>
              <w:t>警示</w:t>
            </w:r>
            <w:r>
              <w:rPr>
                <w:rFonts w:hint="eastAsia" w:ascii="仿宋_GB2312" w:hAnsi="仿宋_GB2312" w:eastAsia="仿宋_GB2312" w:cs="仿宋_GB2312"/>
                <w:b w:val="0"/>
                <w:bCs w:val="0"/>
                <w:sz w:val="28"/>
                <w:szCs w:val="28"/>
                <w:lang w:val="en-US" w:eastAsia="zh-CN"/>
              </w:rPr>
              <w:t>标志</w:t>
            </w:r>
            <w:r>
              <w:rPr>
                <w:rFonts w:hint="eastAsia" w:ascii="仿宋_GB2312" w:hAnsi="仿宋_GB2312" w:eastAsia="仿宋_GB2312" w:cs="仿宋_GB2312"/>
                <w:b w:val="0"/>
                <w:bCs w:val="0"/>
                <w:sz w:val="28"/>
                <w:szCs w:val="28"/>
              </w:rPr>
              <w:t>标准》</w:t>
            </w:r>
            <w:r>
              <w:rPr>
                <w:rFonts w:hint="eastAsia" w:ascii="仿宋_GB2312" w:hAnsi="仿宋_GB2312" w:eastAsia="仿宋_GB2312" w:cs="仿宋_GB2312"/>
                <w:b w:val="0"/>
                <w:bCs w:val="0"/>
                <w:sz w:val="28"/>
                <w:szCs w:val="28"/>
                <w:lang w:val="en-US" w:eastAsia="zh-CN"/>
              </w:rPr>
              <w:t>的要求</w:t>
            </w:r>
            <w:r>
              <w:rPr>
                <w:rFonts w:hint="eastAsia" w:ascii="仿宋_GB2312" w:hAnsi="仿宋_GB2312" w:eastAsia="仿宋_GB2312" w:cs="仿宋_GB2312"/>
                <w:b w:val="0"/>
                <w:bCs w:val="0"/>
                <w:sz w:val="28"/>
                <w:szCs w:val="28"/>
                <w:lang w:eastAsia="zh-CN"/>
              </w:rPr>
              <w:t>。</w:t>
            </w:r>
          </w:p>
        </w:tc>
        <w:tc>
          <w:tcPr>
            <w:tcW w:w="888" w:type="dxa"/>
            <w:vAlign w:val="center"/>
          </w:tcPr>
          <w:p w14:paraId="25A82007">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5FE04757">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9.59</w:t>
            </w:r>
          </w:p>
        </w:tc>
      </w:tr>
      <w:tr w14:paraId="07BA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37594BD8">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w:t>
            </w:r>
          </w:p>
        </w:tc>
        <w:tc>
          <w:tcPr>
            <w:tcW w:w="1428" w:type="dxa"/>
            <w:vAlign w:val="center"/>
          </w:tcPr>
          <w:p w14:paraId="6C4CC7AC">
            <w:pPr>
              <w:spacing w:line="240" w:lineRule="auto"/>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15升方形锐器盒</w:t>
            </w:r>
          </w:p>
          <w:p w14:paraId="058DFF5F">
            <w:pPr>
              <w:pStyle w:val="22"/>
              <w:numPr>
                <w:ilvl w:val="4"/>
                <w:numId w:val="0"/>
              </w:num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drawing>
                <wp:inline distT="0" distB="0" distL="114300" distR="114300">
                  <wp:extent cx="765175" cy="554990"/>
                  <wp:effectExtent l="0" t="0" r="15875" b="16510"/>
                  <wp:docPr id="9" name="图片 9" descr="168109863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1098639271"/>
                          <pic:cNvPicPr>
                            <a:picLocks noChangeAspect="1"/>
                          </pic:cNvPicPr>
                        </pic:nvPicPr>
                        <pic:blipFill>
                          <a:blip r:embed="rId13"/>
                          <a:stretch>
                            <a:fillRect/>
                          </a:stretch>
                        </pic:blipFill>
                        <pic:spPr>
                          <a:xfrm>
                            <a:off x="0" y="0"/>
                            <a:ext cx="765175" cy="554990"/>
                          </a:xfrm>
                          <a:prstGeom prst="rect">
                            <a:avLst/>
                          </a:prstGeom>
                        </pic:spPr>
                      </pic:pic>
                    </a:graphicData>
                  </a:graphic>
                </wp:inline>
              </w:drawing>
            </w:r>
          </w:p>
        </w:tc>
        <w:tc>
          <w:tcPr>
            <w:tcW w:w="5187" w:type="dxa"/>
            <w:vAlign w:val="center"/>
          </w:tcPr>
          <w:p w14:paraId="4A22598A">
            <w:p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盒体由黄红双色组成，盒体为上宽下窄的长方体状。</w:t>
            </w:r>
          </w:p>
          <w:p w14:paraId="13CE6D6A">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该锐器盒在满足有效容积≥15升的情况下，允许高300mm（允许±15mm）、长度305mm（允许±15mm）、 最宽处直径220mm（允许±15mm）。</w:t>
            </w:r>
          </w:p>
          <w:p w14:paraId="4E1FEC36">
            <w:pPr>
              <w:pStyle w:val="2"/>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该锐器盒必须采用全新的聚丙烯塑料（PP）制造而成，必须符合</w:t>
            </w:r>
            <w:r>
              <w:rPr>
                <w:rFonts w:hint="eastAsia" w:ascii="仿宋_GB2312" w:hAnsi="仿宋_GB2312" w:eastAsia="仿宋_GB2312" w:cs="仿宋_GB2312"/>
                <w:b w:val="0"/>
                <w:bCs w:val="0"/>
                <w:sz w:val="28"/>
                <w:szCs w:val="28"/>
              </w:rPr>
              <w:t>国家环境保护总局/卫生部发布HJ421-2008《医疗废物专用包装袋、</w:t>
            </w:r>
            <w:r>
              <w:rPr>
                <w:rFonts w:hint="eastAsia" w:ascii="仿宋_GB2312" w:hAnsi="仿宋_GB2312" w:eastAsia="仿宋_GB2312" w:cs="仿宋_GB2312"/>
                <w:b w:val="0"/>
                <w:bCs w:val="0"/>
                <w:sz w:val="28"/>
                <w:szCs w:val="28"/>
                <w:lang w:eastAsia="zh-CN"/>
              </w:rPr>
              <w:t>锐器盒</w:t>
            </w:r>
            <w:r>
              <w:rPr>
                <w:rFonts w:hint="eastAsia" w:ascii="仿宋_GB2312" w:hAnsi="仿宋_GB2312" w:eastAsia="仿宋_GB2312" w:cs="仿宋_GB2312"/>
                <w:b w:val="0"/>
                <w:bCs w:val="0"/>
                <w:sz w:val="28"/>
                <w:szCs w:val="28"/>
              </w:rPr>
              <w:t>警示</w:t>
            </w:r>
            <w:r>
              <w:rPr>
                <w:rFonts w:hint="eastAsia" w:ascii="仿宋_GB2312" w:hAnsi="仿宋_GB2312" w:eastAsia="仿宋_GB2312" w:cs="仿宋_GB2312"/>
                <w:b w:val="0"/>
                <w:bCs w:val="0"/>
                <w:sz w:val="28"/>
                <w:szCs w:val="28"/>
                <w:lang w:val="en-US" w:eastAsia="zh-CN"/>
              </w:rPr>
              <w:t>标志</w:t>
            </w:r>
            <w:r>
              <w:rPr>
                <w:rFonts w:hint="eastAsia" w:ascii="仿宋_GB2312" w:hAnsi="仿宋_GB2312" w:eastAsia="仿宋_GB2312" w:cs="仿宋_GB2312"/>
                <w:b w:val="0"/>
                <w:bCs w:val="0"/>
                <w:sz w:val="28"/>
                <w:szCs w:val="28"/>
              </w:rPr>
              <w:t>标准》</w:t>
            </w:r>
            <w:r>
              <w:rPr>
                <w:rFonts w:hint="eastAsia" w:ascii="仿宋_GB2312" w:hAnsi="仿宋_GB2312" w:eastAsia="仿宋_GB2312" w:cs="仿宋_GB2312"/>
                <w:b w:val="0"/>
                <w:bCs w:val="0"/>
                <w:sz w:val="28"/>
                <w:szCs w:val="28"/>
                <w:lang w:val="en-US" w:eastAsia="zh-CN"/>
              </w:rPr>
              <w:t>的要求</w:t>
            </w:r>
            <w:r>
              <w:rPr>
                <w:rFonts w:hint="eastAsia" w:ascii="仿宋_GB2312" w:hAnsi="仿宋_GB2312" w:eastAsia="仿宋_GB2312" w:cs="仿宋_GB2312"/>
                <w:b w:val="0"/>
                <w:bCs w:val="0"/>
                <w:sz w:val="28"/>
                <w:szCs w:val="28"/>
                <w:lang w:eastAsia="zh-CN"/>
              </w:rPr>
              <w:t>。</w:t>
            </w:r>
          </w:p>
        </w:tc>
        <w:tc>
          <w:tcPr>
            <w:tcW w:w="888" w:type="dxa"/>
            <w:vAlign w:val="center"/>
          </w:tcPr>
          <w:p w14:paraId="1519E8B2">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069F1CC6">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12.22</w:t>
            </w:r>
          </w:p>
        </w:tc>
      </w:tr>
      <w:tr w14:paraId="765F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14:paraId="6CE8BB58">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w:t>
            </w:r>
          </w:p>
        </w:tc>
        <w:tc>
          <w:tcPr>
            <w:tcW w:w="1428" w:type="dxa"/>
            <w:vAlign w:val="center"/>
          </w:tcPr>
          <w:p w14:paraId="7967067F">
            <w:pPr>
              <w:spacing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急救人员便携锐器</w:t>
            </w:r>
            <w:r>
              <w:rPr>
                <w:rFonts w:hint="eastAsia" w:ascii="仿宋_GB2312" w:hAnsi="仿宋_GB2312" w:eastAsia="仿宋_GB2312" w:cs="仿宋_GB2312"/>
                <w:b w:val="0"/>
                <w:bCs w:val="0"/>
                <w:sz w:val="28"/>
                <w:szCs w:val="28"/>
              </w:rPr>
              <w:t>盒</w:t>
            </w:r>
            <w:r>
              <w:rPr>
                <w:rFonts w:hint="eastAsia" w:ascii="仿宋_GB2312" w:hAnsi="仿宋_GB2312" w:eastAsia="仿宋_GB2312" w:cs="仿宋_GB2312"/>
                <w:b w:val="0"/>
                <w:bCs w:val="0"/>
                <w:sz w:val="28"/>
                <w:szCs w:val="28"/>
                <w:lang w:val="en-US" w:eastAsia="zh-CN"/>
              </w:rPr>
              <w:drawing>
                <wp:inline distT="0" distB="0" distL="114300" distR="114300">
                  <wp:extent cx="811530" cy="811530"/>
                  <wp:effectExtent l="0" t="0" r="7620" b="7620"/>
                  <wp:docPr id="7" name="图片 7" descr="微信图片_2023031515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315155011"/>
                          <pic:cNvPicPr>
                            <a:picLocks noChangeAspect="1"/>
                          </pic:cNvPicPr>
                        </pic:nvPicPr>
                        <pic:blipFill>
                          <a:blip r:embed="rId14"/>
                          <a:stretch>
                            <a:fillRect/>
                          </a:stretch>
                        </pic:blipFill>
                        <pic:spPr>
                          <a:xfrm>
                            <a:off x="0" y="0"/>
                            <a:ext cx="811530" cy="811530"/>
                          </a:xfrm>
                          <a:prstGeom prst="rect">
                            <a:avLst/>
                          </a:prstGeom>
                        </pic:spPr>
                      </pic:pic>
                    </a:graphicData>
                  </a:graphic>
                </wp:inline>
              </w:drawing>
            </w:r>
          </w:p>
        </w:tc>
        <w:tc>
          <w:tcPr>
            <w:tcW w:w="5187" w:type="dxa"/>
            <w:vAlign w:val="center"/>
          </w:tcPr>
          <w:p w14:paraId="2CD06035">
            <w:pPr>
              <w:spacing w:line="240" w:lineRule="auto"/>
              <w:ind w:firstLine="560"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sz w:val="28"/>
                <w:szCs w:val="28"/>
                <w:lang w:val="en-US" w:eastAsia="zh-CN"/>
              </w:rPr>
              <w:t>盒体由黄红双色组成，该盒用于急救人员便携携带，能放置于急救箱内。急救人员便携锐器盒在满足有效容积≥0.3升的情况下，允许高97mm（允许±15mm） 最宽处97mm（允许±15mm） 进深38mm</w:t>
            </w:r>
            <w:r>
              <w:rPr>
                <w:rFonts w:hint="eastAsia" w:ascii="仿宋_GB2312" w:hAnsi="仿宋_GB2312" w:eastAsia="仿宋_GB2312" w:cs="仿宋_GB2312"/>
                <w:b w:val="0"/>
                <w:bCs w:val="0"/>
                <w:color w:val="auto"/>
                <w:sz w:val="28"/>
                <w:szCs w:val="28"/>
                <w:u w:val="none"/>
                <w:lang w:val="en-US" w:eastAsia="zh-CN"/>
              </w:rPr>
              <w:t>（允许±10mm）。</w:t>
            </w:r>
          </w:p>
          <w:p w14:paraId="796C4C23">
            <w:pPr>
              <w:spacing w:line="240" w:lineRule="auto"/>
              <w:ind w:firstLine="560" w:firstLineChars="200"/>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eastAsia="zh-CN"/>
              </w:rPr>
              <w:t>锐器盒具有医疗废物图案，推拉式或按压式锁止，锐器盒口有效的保护装置，防止盒内的锐器回流、抛洒、泄露。</w:t>
            </w:r>
          </w:p>
        </w:tc>
        <w:tc>
          <w:tcPr>
            <w:tcW w:w="888" w:type="dxa"/>
            <w:vAlign w:val="center"/>
          </w:tcPr>
          <w:p w14:paraId="5C99D18C">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5B294E7F">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1.72</w:t>
            </w:r>
          </w:p>
        </w:tc>
      </w:tr>
      <w:tr w14:paraId="232B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08" w:type="dxa"/>
            <w:vAlign w:val="center"/>
          </w:tcPr>
          <w:p w14:paraId="41A8842E">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p>
        </w:tc>
        <w:tc>
          <w:tcPr>
            <w:tcW w:w="1428" w:type="dxa"/>
            <w:vAlign w:val="center"/>
          </w:tcPr>
          <w:p w14:paraId="6455995F">
            <w:pPr>
              <w:spacing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摆药盒</w:t>
            </w:r>
          </w:p>
          <w:p w14:paraId="2D7E8EFB">
            <w:pPr>
              <w:pStyle w:val="22"/>
              <w:numPr>
                <w:ilvl w:val="4"/>
                <w:numId w:val="0"/>
              </w:numPr>
              <w:spacing w:line="24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drawing>
                <wp:inline distT="0" distB="0" distL="114300" distR="114300">
                  <wp:extent cx="768350" cy="1024255"/>
                  <wp:effectExtent l="0" t="0" r="12700" b="4445"/>
                  <wp:docPr id="11" name="图片 11" descr="924146e0442ffb342e5332f713ec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24146e0442ffb342e5332f713ec858"/>
                          <pic:cNvPicPr>
                            <a:picLocks noChangeAspect="1"/>
                          </pic:cNvPicPr>
                        </pic:nvPicPr>
                        <pic:blipFill>
                          <a:blip r:embed="rId15"/>
                          <a:stretch>
                            <a:fillRect/>
                          </a:stretch>
                        </pic:blipFill>
                        <pic:spPr>
                          <a:xfrm>
                            <a:off x="0" y="0"/>
                            <a:ext cx="768350" cy="1024255"/>
                          </a:xfrm>
                          <a:prstGeom prst="rect">
                            <a:avLst/>
                          </a:prstGeom>
                        </pic:spPr>
                      </pic:pic>
                    </a:graphicData>
                  </a:graphic>
                </wp:inline>
              </w:drawing>
            </w:r>
          </w:p>
        </w:tc>
        <w:tc>
          <w:tcPr>
            <w:tcW w:w="5187" w:type="dxa"/>
            <w:vAlign w:val="center"/>
          </w:tcPr>
          <w:p w14:paraId="297172D4">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bidi="ar"/>
              </w:rPr>
              <w:t>盒体长30.5cm 宽13cm 高10cm，各项尺寸</w:t>
            </w:r>
            <w:r>
              <w:rPr>
                <w:rFonts w:hint="eastAsia" w:ascii="仿宋_GB2312" w:hAnsi="仿宋_GB2312" w:eastAsia="仿宋_GB2312" w:cs="仿宋_GB2312"/>
                <w:b w:val="0"/>
                <w:bCs w:val="0"/>
                <w:sz w:val="28"/>
                <w:szCs w:val="28"/>
                <w:lang w:val="en-US" w:eastAsia="zh-CN"/>
              </w:rPr>
              <w:t>允许±15mm，</w:t>
            </w:r>
          </w:p>
          <w:p w14:paraId="233861A2">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val="en-US" w:eastAsia="zh-CN"/>
              </w:rPr>
              <w:t>采用全新的聚丙烯塑料（PP）制造而成，厚实耐用，抗老化不变脆，从1米高度自由落体完整无裂痕。</w:t>
            </w:r>
          </w:p>
          <w:p w14:paraId="18C455C0">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表面光滑平整，没有明显凹陷，边缘及提手无毛刺。</w:t>
            </w:r>
          </w:p>
          <w:p w14:paraId="109FE393">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auto"/>
                <w:kern w:val="0"/>
                <w:sz w:val="28"/>
                <w:szCs w:val="28"/>
                <w:u w:val="single"/>
                <w:lang w:val="en-US" w:eastAsia="zh-CN" w:bidi="ar"/>
              </w:rPr>
              <w:t>盒底具有防滑功能。顶部四周有凹槽便于拿取，前端有可拆卸式铭牌区，可以更换药品名称卡片（需配备卡片）。</w:t>
            </w:r>
          </w:p>
        </w:tc>
        <w:tc>
          <w:tcPr>
            <w:tcW w:w="888" w:type="dxa"/>
            <w:vAlign w:val="center"/>
          </w:tcPr>
          <w:p w14:paraId="795A3C8B">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642162CF">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6.4</w:t>
            </w:r>
          </w:p>
        </w:tc>
      </w:tr>
      <w:tr w14:paraId="7B38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7557AA39">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p>
        </w:tc>
        <w:tc>
          <w:tcPr>
            <w:tcW w:w="1428" w:type="dxa"/>
            <w:vAlign w:val="center"/>
          </w:tcPr>
          <w:p w14:paraId="442792DF">
            <w:pPr>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大便器</w:t>
            </w:r>
          </w:p>
          <w:p w14:paraId="392777CA">
            <w:pPr>
              <w:pStyle w:val="22"/>
              <w:numPr>
                <w:ilvl w:val="4"/>
                <w:numId w:val="0"/>
              </w:numPr>
              <w:spacing w:line="240" w:lineRule="auto"/>
              <w:rPr>
                <w:rFonts w:hint="eastAsia" w:ascii="仿宋_GB2312" w:hAnsi="仿宋_GB2312" w:eastAsia="仿宋_GB2312" w:cs="仿宋_GB2312"/>
                <w:b w:val="0"/>
                <w:bCs w:val="0"/>
                <w:sz w:val="28"/>
                <w:szCs w:val="28"/>
                <w:lang w:val="en-US" w:eastAsia="zh-CN"/>
              </w:rPr>
            </w:pPr>
          </w:p>
        </w:tc>
        <w:tc>
          <w:tcPr>
            <w:tcW w:w="5187" w:type="dxa"/>
            <w:vAlign w:val="center"/>
          </w:tcPr>
          <w:p w14:paraId="526F546E">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便器长约35厘米，宽27厘米，高7.5厘米，</w:t>
            </w:r>
            <w:r>
              <w:rPr>
                <w:rFonts w:hint="eastAsia" w:ascii="仿宋_GB2312" w:hAnsi="仿宋_GB2312" w:eastAsia="仿宋_GB2312" w:cs="仿宋_GB2312"/>
                <w:b w:val="0"/>
                <w:bCs w:val="0"/>
                <w:color w:val="000000"/>
                <w:kern w:val="0"/>
                <w:sz w:val="28"/>
                <w:szCs w:val="28"/>
                <w:lang w:val="en-US" w:eastAsia="zh-CN" w:bidi="ar"/>
              </w:rPr>
              <w:t>各项尺寸</w:t>
            </w:r>
            <w:r>
              <w:rPr>
                <w:rFonts w:hint="eastAsia" w:ascii="仿宋_GB2312" w:hAnsi="仿宋_GB2312" w:eastAsia="仿宋_GB2312" w:cs="仿宋_GB2312"/>
                <w:b w:val="0"/>
                <w:bCs w:val="0"/>
                <w:sz w:val="28"/>
                <w:szCs w:val="28"/>
                <w:lang w:val="en-US" w:eastAsia="zh-CN"/>
              </w:rPr>
              <w:t>允许±30mm。</w:t>
            </w:r>
          </w:p>
          <w:p w14:paraId="67F83C0A">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便器一次吹塑成型，采用全新的聚丙烯塑料（PP）制造而成，厚实耐用，抗老化不变脆，从1米高度自由落体完整无裂痕。</w:t>
            </w:r>
          </w:p>
          <w:p w14:paraId="75F7565F">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表面光滑平整，没有明显凹陷，边缘及提手无毛刺。</w:t>
            </w:r>
          </w:p>
          <w:p w14:paraId="673C4DAB">
            <w:pPr>
              <w:keepNext w:val="0"/>
              <w:keepLines w:val="0"/>
              <w:widowControl/>
              <w:suppressLineNumbers w:val="0"/>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盒底具有防滑功能。顶部四周有凹槽便于拿取。</w:t>
            </w:r>
          </w:p>
          <w:p w14:paraId="380563E7">
            <w:pPr>
              <w:spacing w:line="240" w:lineRule="auto"/>
              <w:ind w:firstLine="560" w:firstLineChars="200"/>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color w:val="auto"/>
                <w:sz w:val="28"/>
                <w:szCs w:val="28"/>
                <w:u w:val="single"/>
                <w:lang w:val="en-US" w:eastAsia="zh-CN"/>
              </w:rPr>
              <w:t>有盖大便器，每个便器采用独立密封袋包装，干净卫生。</w:t>
            </w:r>
          </w:p>
        </w:tc>
        <w:tc>
          <w:tcPr>
            <w:tcW w:w="888" w:type="dxa"/>
            <w:vAlign w:val="center"/>
          </w:tcPr>
          <w:p w14:paraId="487778B2">
            <w:pPr>
              <w:spacing w:line="240" w:lineRule="auto"/>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448EB658">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6.64</w:t>
            </w:r>
          </w:p>
        </w:tc>
      </w:tr>
      <w:tr w14:paraId="3E1E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6A103868">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w:t>
            </w:r>
          </w:p>
        </w:tc>
        <w:tc>
          <w:tcPr>
            <w:tcW w:w="1428" w:type="dxa"/>
            <w:vAlign w:val="center"/>
          </w:tcPr>
          <w:p w14:paraId="22515686">
            <w:pPr>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小便器</w:t>
            </w:r>
          </w:p>
          <w:p w14:paraId="59065771">
            <w:pPr>
              <w:pStyle w:val="22"/>
              <w:numPr>
                <w:ilvl w:val="4"/>
                <w:numId w:val="0"/>
              </w:num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drawing>
                <wp:inline distT="0" distB="0" distL="114300" distR="114300">
                  <wp:extent cx="768350" cy="768350"/>
                  <wp:effectExtent l="0" t="0" r="12700" b="12700"/>
                  <wp:docPr id="10" name="图片 10" descr="4c2e766cfe05fcdeed0eab471f76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c2e766cfe05fcdeed0eab471f761a3"/>
                          <pic:cNvPicPr>
                            <a:picLocks noChangeAspect="1"/>
                          </pic:cNvPicPr>
                        </pic:nvPicPr>
                        <pic:blipFill>
                          <a:blip r:embed="rId16"/>
                          <a:stretch>
                            <a:fillRect/>
                          </a:stretch>
                        </pic:blipFill>
                        <pic:spPr>
                          <a:xfrm>
                            <a:off x="0" y="0"/>
                            <a:ext cx="768350" cy="768350"/>
                          </a:xfrm>
                          <a:prstGeom prst="rect">
                            <a:avLst/>
                          </a:prstGeom>
                        </pic:spPr>
                      </pic:pic>
                    </a:graphicData>
                  </a:graphic>
                </wp:inline>
              </w:drawing>
            </w:r>
          </w:p>
        </w:tc>
        <w:tc>
          <w:tcPr>
            <w:tcW w:w="5187" w:type="dxa"/>
            <w:vAlign w:val="center"/>
          </w:tcPr>
          <w:p w14:paraId="31B6E12E">
            <w:pPr>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小便器不含壶嘴、提手，仅装液体部分容积不低于800毫升，液体盒体部分长约16厘米，高约6厘米。</w:t>
            </w:r>
          </w:p>
          <w:p w14:paraId="73ADA19E">
            <w:pPr>
              <w:pStyle w:val="24"/>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顶端大提手，方便患者拿取，要求大开口、长壶嘴，患者使用方便。</w:t>
            </w:r>
          </w:p>
          <w:p w14:paraId="727B2563">
            <w:pPr>
              <w:pStyle w:val="24"/>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u w:val="single"/>
                <w:lang w:val="en-US" w:eastAsia="zh-CN"/>
              </w:rPr>
              <w:t>侧面有刻度，便于观察排尿量</w:t>
            </w:r>
            <w:r>
              <w:rPr>
                <w:rFonts w:hint="eastAsia" w:ascii="仿宋_GB2312" w:hAnsi="仿宋_GB2312" w:eastAsia="仿宋_GB2312" w:cs="仿宋_GB2312"/>
                <w:b w:val="0"/>
                <w:bCs w:val="0"/>
                <w:sz w:val="28"/>
                <w:szCs w:val="28"/>
                <w:lang w:val="en-US" w:eastAsia="zh-CN"/>
              </w:rPr>
              <w:t>。</w:t>
            </w:r>
          </w:p>
          <w:p w14:paraId="459222A0">
            <w:pPr>
              <w:pStyle w:val="24"/>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采用全新的聚丙烯塑料（PP）制造而成，厚实耐用，抗老化不变脆，从1米高度自由落体完整无裂痕。</w:t>
            </w:r>
          </w:p>
          <w:p w14:paraId="1829B669">
            <w:pPr>
              <w:pStyle w:val="24"/>
              <w:spacing w:line="240" w:lineRule="auto"/>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表面光滑平整，没有明显凹陷，边缘及提手无毛刺。盒底具有防滑功能</w:t>
            </w:r>
            <w:r>
              <w:rPr>
                <w:rFonts w:hint="eastAsia" w:ascii="仿宋_GB2312" w:hAnsi="仿宋_GB2312" w:eastAsia="仿宋_GB2312" w:cs="仿宋_GB2312"/>
                <w:b w:val="0"/>
                <w:bCs w:val="0"/>
                <w:sz w:val="28"/>
                <w:szCs w:val="28"/>
                <w:lang w:eastAsia="zh-CN"/>
              </w:rPr>
              <w:t>。</w:t>
            </w:r>
          </w:p>
          <w:p w14:paraId="71A0390C">
            <w:pPr>
              <w:spacing w:line="24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auto"/>
                <w:sz w:val="28"/>
                <w:szCs w:val="28"/>
                <w:u w:val="single"/>
                <w:lang w:val="en-US" w:eastAsia="zh-CN"/>
              </w:rPr>
              <w:t>每个小便器采用独立密封袋包装，干净卫生。</w:t>
            </w:r>
          </w:p>
        </w:tc>
        <w:tc>
          <w:tcPr>
            <w:tcW w:w="888" w:type="dxa"/>
            <w:vAlign w:val="center"/>
          </w:tcPr>
          <w:p w14:paraId="0FA7B517">
            <w:pPr>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个</w:t>
            </w:r>
          </w:p>
        </w:tc>
        <w:tc>
          <w:tcPr>
            <w:tcW w:w="1242" w:type="dxa"/>
            <w:vAlign w:val="center"/>
          </w:tcPr>
          <w:p w14:paraId="73B8E19E">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w:t>
            </w:r>
          </w:p>
        </w:tc>
      </w:tr>
      <w:tr w14:paraId="1289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2AA7ED1F">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1428" w:type="dxa"/>
            <w:vAlign w:val="center"/>
          </w:tcPr>
          <w:p w14:paraId="02A65C3B">
            <w:pPr>
              <w:pStyle w:val="22"/>
              <w:numPr>
                <w:ilvl w:val="4"/>
                <w:numId w:val="0"/>
              </w:num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医用床刷</w:t>
            </w:r>
          </w:p>
        </w:tc>
        <w:tc>
          <w:tcPr>
            <w:tcW w:w="5187" w:type="dxa"/>
            <w:vAlign w:val="center"/>
          </w:tcPr>
          <w:p w14:paraId="08BCC5F2">
            <w:pPr>
              <w:spacing w:line="240" w:lineRule="auto"/>
              <w:ind w:firstLine="560"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材质：ABS、海绵、无纺布。</w:t>
            </w:r>
          </w:p>
          <w:p w14:paraId="35C50E69">
            <w:pPr>
              <w:spacing w:line="240" w:lineRule="auto"/>
              <w:ind w:firstLine="560" w:firstLineChars="200"/>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尺寸：约22厘米长、13厘米高。</w:t>
            </w:r>
          </w:p>
          <w:p w14:paraId="3C3E89C8">
            <w:pPr>
              <w:pStyle w:val="24"/>
              <w:spacing w:line="24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auto"/>
                <w:sz w:val="28"/>
                <w:szCs w:val="28"/>
                <w:u w:val="none"/>
                <w:lang w:val="en-US" w:eastAsia="zh-CN"/>
              </w:rPr>
              <w:t>货物具有防滑握把，带夹，可快速反复更换一次性医用床刷套，用于病床消毒清除头发碎屑等病床污渍，防止交叉感染。</w:t>
            </w:r>
          </w:p>
        </w:tc>
        <w:tc>
          <w:tcPr>
            <w:tcW w:w="888" w:type="dxa"/>
            <w:vAlign w:val="center"/>
          </w:tcPr>
          <w:p w14:paraId="50A7C098">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把</w:t>
            </w:r>
          </w:p>
        </w:tc>
        <w:tc>
          <w:tcPr>
            <w:tcW w:w="1242" w:type="dxa"/>
            <w:vAlign w:val="center"/>
          </w:tcPr>
          <w:p w14:paraId="54B0B5BC">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15.5</w:t>
            </w:r>
          </w:p>
        </w:tc>
      </w:tr>
      <w:tr w14:paraId="125C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14:paraId="539B8283">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w:t>
            </w:r>
          </w:p>
        </w:tc>
        <w:tc>
          <w:tcPr>
            <w:tcW w:w="1428" w:type="dxa"/>
            <w:vAlign w:val="center"/>
          </w:tcPr>
          <w:p w14:paraId="7DF112CB">
            <w:pPr>
              <w:pStyle w:val="22"/>
              <w:numPr>
                <w:ilvl w:val="4"/>
                <w:numId w:val="0"/>
              </w:numPr>
              <w:spacing w:line="24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医用一次性床刷套</w:t>
            </w:r>
          </w:p>
        </w:tc>
        <w:tc>
          <w:tcPr>
            <w:tcW w:w="5187" w:type="dxa"/>
            <w:vAlign w:val="center"/>
          </w:tcPr>
          <w:p w14:paraId="1BCD99F8">
            <w:pPr>
              <w:spacing w:line="240" w:lineRule="auto"/>
              <w:ind w:firstLine="560"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袋装、消毒密封包装（刷套约48条至50条一袋）。</w:t>
            </w:r>
          </w:p>
          <w:p w14:paraId="138B46E0">
            <w:pPr>
              <w:pStyle w:val="22"/>
              <w:spacing w:line="240" w:lineRule="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材质：无毒聚乙烯薄膜、无纺布、消毒溶液。</w:t>
            </w:r>
          </w:p>
          <w:p w14:paraId="2B930C25">
            <w:pPr>
              <w:pStyle w:val="24"/>
              <w:spacing w:line="240" w:lineRule="auto"/>
              <w:ind w:firstLine="560" w:firstLineChars="200"/>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尺寸：约25厘米长、10厘米高。</w:t>
            </w:r>
          </w:p>
          <w:p w14:paraId="00FE48E6">
            <w:pPr>
              <w:pStyle w:val="24"/>
              <w:spacing w:line="240" w:lineRule="auto"/>
              <w:ind w:firstLine="560" w:firstLineChars="200"/>
              <w:rPr>
                <w:rFonts w:hint="eastAsia" w:ascii="仿宋_GB2312" w:hAnsi="仿宋_GB2312" w:eastAsia="仿宋_GB2312" w:cs="仿宋_GB2312"/>
                <w:b w:val="0"/>
                <w:bCs w:val="0"/>
                <w:color w:val="auto"/>
                <w:sz w:val="28"/>
                <w:szCs w:val="28"/>
                <w:u w:val="single"/>
                <w:lang w:val="en-US" w:eastAsia="zh-CN"/>
              </w:rPr>
            </w:pPr>
            <w:r>
              <w:rPr>
                <w:rFonts w:hint="eastAsia" w:ascii="仿宋_GB2312" w:hAnsi="仿宋_GB2312" w:eastAsia="仿宋_GB2312" w:cs="仿宋_GB2312"/>
                <w:b w:val="0"/>
                <w:bCs w:val="0"/>
                <w:color w:val="auto"/>
                <w:sz w:val="28"/>
                <w:szCs w:val="28"/>
                <w:u w:val="none"/>
                <w:lang w:val="en-US" w:eastAsia="zh-CN"/>
              </w:rPr>
              <w:t>一次性床刷套有效期12个月，无菌、搭配医用床刷用于病床消毒和清扫。</w:t>
            </w:r>
          </w:p>
        </w:tc>
        <w:tc>
          <w:tcPr>
            <w:tcW w:w="888" w:type="dxa"/>
            <w:vAlign w:val="center"/>
          </w:tcPr>
          <w:p w14:paraId="0A226F12">
            <w:pPr>
              <w:spacing w:line="24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袋</w:t>
            </w:r>
          </w:p>
        </w:tc>
        <w:tc>
          <w:tcPr>
            <w:tcW w:w="1242" w:type="dxa"/>
            <w:vAlign w:val="center"/>
          </w:tcPr>
          <w:p w14:paraId="3751ECDB">
            <w:pPr>
              <w:keepNext w:val="0"/>
              <w:keepLines w:val="0"/>
              <w:widowControl/>
              <w:suppressLineNumbers w:val="0"/>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12.5</w:t>
            </w:r>
          </w:p>
        </w:tc>
      </w:tr>
      <w:tr w14:paraId="12F1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553" w:type="dxa"/>
            <w:gridSpan w:val="5"/>
            <w:vAlign w:val="center"/>
          </w:tcPr>
          <w:p w14:paraId="33DB004F">
            <w:pPr>
              <w:pStyle w:val="43"/>
              <w:widowControl/>
              <w:numPr>
                <w:ilvl w:val="0"/>
                <w:numId w:val="0"/>
              </w:numPr>
              <w:spacing w:line="360" w:lineRule="auto"/>
              <w:ind w:leftChars="0" w:firstLine="560" w:firstLineChars="200"/>
              <w:jc w:val="left"/>
              <w:rPr>
                <w:rFonts w:hint="eastAsia" w:ascii="仿宋_GB2312" w:hAnsi="仿宋_GB2312" w:eastAsia="仿宋_GB2312" w:cs="仿宋_GB2312"/>
                <w:i w:val="0"/>
                <w:iCs w:val="0"/>
                <w:color w:val="000000"/>
                <w:kern w:val="0"/>
                <w:sz w:val="28"/>
                <w:szCs w:val="28"/>
                <w:u w:val="none"/>
                <w:lang w:val="en-US" w:eastAsia="zh-CN" w:bidi="ar"/>
              </w:rPr>
            </w:pP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备注：供应商在参与遴选采购活动时须提供本项目所需的</w:t>
            </w:r>
            <w:r>
              <w:rPr>
                <w:rFonts w:hint="eastAsia" w:ascii="仿宋_GB2312" w:hAnsi="仿宋_GB2312" w:eastAsia="仿宋_GB2312" w:cs="仿宋_GB2312"/>
                <w:b w:val="0"/>
                <w:bCs w:val="0"/>
                <w:sz w:val="28"/>
                <w:szCs w:val="28"/>
                <w:lang w:val="en-US" w:eastAsia="zh-CN"/>
              </w:rPr>
              <w:t>3升圆形锐器盒的</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"https://www.baidu.com/link?url=8vhMXUv09UoCl6Vh_zZMcRakgfQEi4j0J8EqIyYz9yQSjIH9-gMuZEAJrb9Y19Uu&amp;wd=&amp;eqid=ce73a44d00016ea30000000363c6179c" \t "https://www.baidu.com/_blank" </w:instrTex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国家认证认可监督管理委员会</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认可</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的</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第三方检测机构出具的检测报告复印件或扫描件，以佐证</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利器盒材质为</w:t>
            </w:r>
            <w:r>
              <w:rPr>
                <w:rFonts w:hint="eastAsia" w:ascii="仿宋_GB2312" w:hAnsi="仿宋_GB2312" w:eastAsia="仿宋_GB2312" w:cs="仿宋_GB2312"/>
                <w:b w:val="0"/>
                <w:bCs w:val="0"/>
                <w:sz w:val="28"/>
                <w:szCs w:val="28"/>
                <w:lang w:val="en-US" w:eastAsia="zh-CN"/>
              </w:rPr>
              <w:t>聚丙烯塑料（PP）</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供应商不提供检测报告或提供的</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检测报告</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内容</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不符合</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遴选文件利器盒材质</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要求</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的</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，视为</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供应商未响应</w:t>
            </w:r>
            <w:r>
              <w:rPr>
                <w:rStyle w:val="48"/>
                <w:rFonts w:hint="eastAsia" w:ascii="仿宋_GB2312" w:hAnsi="仿宋_GB2312" w:eastAsia="仿宋_GB2312" w:cs="仿宋_GB2312"/>
                <w:color w:val="000000" w:themeColor="text1"/>
                <w:sz w:val="28"/>
                <w:szCs w:val="28"/>
                <w:highlight w:val="none"/>
                <w14:textFill>
                  <w14:solidFill>
                    <w14:schemeClr w14:val="tx1"/>
                  </w14:solidFill>
                </w14:textFill>
              </w:rPr>
              <w:t>，</w:t>
            </w:r>
            <w:r>
              <w:rPr>
                <w:rStyle w:val="48"/>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该供应商成交资格作废。</w:t>
            </w:r>
          </w:p>
        </w:tc>
      </w:tr>
    </w:tbl>
    <w:p w14:paraId="15986FD9">
      <w:pPr>
        <w:pStyle w:val="35"/>
        <w:numPr>
          <w:ilvl w:val="0"/>
          <w:numId w:val="0"/>
        </w:numPr>
        <w:spacing w:line="560" w:lineRule="exact"/>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三、锐器盒质量要求（技术要求）</w:t>
      </w:r>
    </w:p>
    <w:p w14:paraId="6929D2A5">
      <w:pPr>
        <w:pStyle w:val="43"/>
        <w:widowControl/>
        <w:numPr>
          <w:ilvl w:val="0"/>
          <w:numId w:val="0"/>
        </w:numPr>
        <w:spacing w:line="360" w:lineRule="auto"/>
        <w:ind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sz w:val="28"/>
          <w:szCs w:val="28"/>
          <w:lang w:val="en-US" w:eastAsia="zh-CN"/>
        </w:rPr>
        <w:t>根据国家环境保护总局/卫生部发布HJ421-2008《医疗废物专用包装袋、锐器盒警示标志标准》的要求，</w:t>
      </w:r>
      <w:r>
        <w:rPr>
          <w:rFonts w:hint="eastAsia" w:ascii="仿宋_GB2312" w:hAnsi="仿宋_GB2312" w:eastAsia="仿宋_GB2312" w:cs="仿宋_GB2312"/>
          <w:color w:val="000000"/>
          <w:kern w:val="0"/>
          <w:sz w:val="28"/>
          <w:szCs w:val="28"/>
          <w:lang w:eastAsia="zh-CN"/>
        </w:rPr>
        <w:t>锐器盒</w:t>
      </w:r>
      <w:r>
        <w:rPr>
          <w:rFonts w:hint="eastAsia" w:ascii="仿宋_GB2312" w:hAnsi="仿宋_GB2312" w:eastAsia="仿宋_GB2312" w:cs="仿宋_GB2312"/>
          <w:color w:val="000000"/>
          <w:kern w:val="0"/>
          <w:sz w:val="28"/>
          <w:szCs w:val="28"/>
        </w:rPr>
        <w:t>的规格尺寸根据用户要求确定。</w:t>
      </w:r>
      <w:r>
        <w:rPr>
          <w:rFonts w:hint="eastAsia" w:ascii="仿宋_GB2312" w:hAnsi="仿宋_GB2312" w:eastAsia="仿宋_GB2312" w:cs="仿宋_GB2312"/>
          <w:bCs/>
          <w:sz w:val="28"/>
          <w:szCs w:val="28"/>
          <w:lang w:val="en-US" w:eastAsia="zh-CN"/>
        </w:rPr>
        <w:t>锐器盒</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按采购人要求印制文字内容为：“1、使用科室_____ ；2、使用日期</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；3、重量</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；4、</w:t>
      </w:r>
      <w:r>
        <w:rPr>
          <w:rFonts w:hint="eastAsia" w:ascii="仿宋_GB2312" w:hAnsi="仿宋_GB2312" w:eastAsia="仿宋_GB2312" w:cs="仿宋_GB2312"/>
          <w:color w:val="auto"/>
          <w:sz w:val="28"/>
          <w:szCs w:val="28"/>
          <w:lang w:val="en-US" w:eastAsia="zh-CN"/>
        </w:rPr>
        <w:t>盛装请勿超过此线”；5、警告：仅限容器七成 严禁强行塞入 超储。</w:t>
      </w:r>
    </w:p>
    <w:p w14:paraId="06EA8853">
      <w:pPr>
        <w:bidi w:val="0"/>
        <w:spacing w:line="360" w:lineRule="auto"/>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sz w:val="28"/>
          <w:szCs w:val="28"/>
          <w:lang w:val="en-US" w:eastAsia="zh-CN"/>
        </w:rPr>
        <w:t>（二）锐器盒必须</w:t>
      </w:r>
      <w:r>
        <w:rPr>
          <w:rFonts w:hint="eastAsia" w:ascii="仿宋_GB2312" w:hAnsi="仿宋_GB2312" w:eastAsia="仿宋_GB2312" w:cs="仿宋_GB2312"/>
          <w:sz w:val="28"/>
          <w:szCs w:val="28"/>
        </w:rPr>
        <w:t>采用全新</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聚丙烯塑料（PP）制造而成</w:t>
      </w:r>
      <w:r>
        <w:rPr>
          <w:rFonts w:hint="eastAsia" w:ascii="仿宋_GB2312" w:hAnsi="仿宋_GB2312" w:eastAsia="仿宋_GB2312" w:cs="仿宋_GB2312"/>
          <w:sz w:val="28"/>
          <w:szCs w:val="28"/>
          <w:lang w:eastAsia="zh-CN"/>
        </w:rPr>
        <w:t>，不应使用聚氯乙烯材料。</w:t>
      </w:r>
      <w:r>
        <w:rPr>
          <w:rFonts w:hint="eastAsia" w:ascii="仿宋_GB2312" w:hAnsi="仿宋_GB2312" w:eastAsia="仿宋_GB2312" w:cs="仿宋_GB2312"/>
          <w:sz w:val="28"/>
          <w:szCs w:val="28"/>
          <w:lang w:val="en-US" w:eastAsia="zh-CN"/>
        </w:rPr>
        <w:t>表面光滑平整，无毛刺。锐器盒整体颜色为淡黄，颜色应符合 GB/T 3181 中 Y06 的要求。</w:t>
      </w:r>
    </w:p>
    <w:p w14:paraId="54E5913D">
      <w:pPr>
        <w:bidi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val="en-US" w:eastAsia="zh-CN" w:bidi="ar"/>
        </w:rPr>
        <w:t>（三）锐器盒是用于盛装损伤性医疗废物的一次性专用硬质容器，</w:t>
      </w:r>
      <w:r>
        <w:rPr>
          <w:rFonts w:hint="eastAsia" w:ascii="仿宋_GB2312" w:hAnsi="仿宋_GB2312" w:eastAsia="仿宋_GB2312" w:cs="仿宋_GB2312"/>
          <w:sz w:val="28"/>
          <w:szCs w:val="28"/>
          <w:lang w:val="en-US" w:eastAsia="zh-CN"/>
        </w:rPr>
        <w:t>锐器</w:t>
      </w:r>
      <w:r>
        <w:rPr>
          <w:rFonts w:hint="eastAsia" w:ascii="仿宋_GB2312" w:hAnsi="仿宋_GB2312" w:eastAsia="仿宋_GB2312" w:cs="仿宋_GB2312"/>
          <w:sz w:val="28"/>
          <w:szCs w:val="28"/>
          <w:lang w:eastAsia="zh-CN"/>
        </w:rPr>
        <w:t>盒为一次性使用，</w:t>
      </w:r>
      <w:r>
        <w:rPr>
          <w:rFonts w:hint="eastAsia" w:ascii="仿宋_GB2312" w:hAnsi="仿宋_GB2312" w:eastAsia="仿宋_GB2312" w:cs="仿宋_GB2312"/>
          <w:sz w:val="28"/>
          <w:szCs w:val="28"/>
        </w:rPr>
        <w:t>使用方便、安全，无毒、</w:t>
      </w:r>
      <w:r>
        <w:rPr>
          <w:rFonts w:hint="eastAsia" w:ascii="仿宋_GB2312" w:hAnsi="仿宋_GB2312" w:eastAsia="仿宋_GB2312" w:cs="仿宋_GB2312"/>
          <w:sz w:val="28"/>
          <w:szCs w:val="28"/>
          <w:lang w:val="en-US" w:eastAsia="zh-CN"/>
        </w:rPr>
        <w:t>防</w:t>
      </w:r>
      <w:r>
        <w:rPr>
          <w:rFonts w:hint="eastAsia" w:ascii="仿宋_GB2312" w:hAnsi="仿宋_GB2312" w:eastAsia="仿宋_GB2312" w:cs="仿宋_GB2312"/>
          <w:sz w:val="28"/>
          <w:szCs w:val="28"/>
        </w:rPr>
        <w:t>穿刺、易于高温焚烧</w:t>
      </w:r>
      <w:r>
        <w:rPr>
          <w:rFonts w:hint="eastAsia" w:ascii="仿宋_GB2312" w:hAnsi="仿宋_GB2312" w:eastAsia="仿宋_GB2312" w:cs="仿宋_GB2312"/>
          <w:sz w:val="28"/>
          <w:szCs w:val="28"/>
          <w:lang w:eastAsia="zh-CN"/>
        </w:rPr>
        <w:t>。</w:t>
      </w:r>
    </w:p>
    <w:p w14:paraId="681624FE">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（四）锐器盒</w:t>
      </w:r>
      <w:r>
        <w:rPr>
          <w:rFonts w:hint="eastAsia" w:ascii="仿宋_GB2312" w:hAnsi="仿宋_GB2312" w:eastAsia="仿宋_GB2312" w:cs="仿宋_GB2312"/>
          <w:color w:val="000000"/>
          <w:kern w:val="0"/>
          <w:sz w:val="28"/>
          <w:szCs w:val="28"/>
        </w:rPr>
        <w:t>在正常情况下，盒内盛装物不撒漏，</w:t>
      </w:r>
      <w:r>
        <w:rPr>
          <w:rFonts w:hint="eastAsia" w:ascii="仿宋_GB2312" w:hAnsi="仿宋_GB2312" w:eastAsia="仿宋_GB2312" w:cs="仿宋_GB2312"/>
          <w:sz w:val="28"/>
          <w:szCs w:val="28"/>
        </w:rPr>
        <w:t>安装使用后不能正常打开重复使用</w:t>
      </w:r>
      <w:r>
        <w:rPr>
          <w:rFonts w:hint="eastAsia" w:ascii="仿宋_GB2312" w:hAnsi="仿宋_GB2312" w:eastAsia="仿宋_GB2312" w:cs="仿宋_GB2312"/>
          <w:color w:val="000000"/>
          <w:kern w:val="0"/>
          <w:sz w:val="28"/>
          <w:szCs w:val="28"/>
        </w:rPr>
        <w:t>，并且</w:t>
      </w:r>
      <w:r>
        <w:rPr>
          <w:rFonts w:hint="eastAsia" w:ascii="仿宋_GB2312" w:hAnsi="仿宋_GB2312" w:eastAsia="仿宋_GB2312" w:cs="仿宋_GB2312"/>
          <w:color w:val="000000"/>
          <w:kern w:val="0"/>
          <w:sz w:val="28"/>
          <w:szCs w:val="28"/>
          <w:lang w:val="en-US" w:eastAsia="zh-CN"/>
        </w:rPr>
        <w:t>锐器盒</w:t>
      </w:r>
      <w:r>
        <w:rPr>
          <w:rFonts w:hint="eastAsia" w:ascii="仿宋_GB2312" w:hAnsi="仿宋_GB2312" w:eastAsia="仿宋_GB2312" w:cs="仿宋_GB2312"/>
          <w:color w:val="000000"/>
          <w:kern w:val="0"/>
          <w:sz w:val="28"/>
          <w:szCs w:val="28"/>
        </w:rPr>
        <w:t>一旦</w:t>
      </w:r>
      <w:r>
        <w:rPr>
          <w:rFonts w:hint="eastAsia" w:ascii="仿宋_GB2312" w:hAnsi="仿宋_GB2312" w:eastAsia="仿宋_GB2312" w:cs="仿宋_GB2312"/>
          <w:color w:val="000000"/>
          <w:kern w:val="0"/>
          <w:sz w:val="28"/>
          <w:szCs w:val="28"/>
          <w:lang w:val="en-US" w:eastAsia="zh-CN"/>
        </w:rPr>
        <w:t>封闭</w:t>
      </w:r>
      <w:r>
        <w:rPr>
          <w:rFonts w:hint="eastAsia" w:ascii="仿宋_GB2312" w:hAnsi="仿宋_GB2312" w:eastAsia="仿宋_GB2312" w:cs="仿宋_GB2312"/>
          <w:color w:val="000000"/>
          <w:kern w:val="0"/>
          <w:sz w:val="28"/>
          <w:szCs w:val="28"/>
        </w:rPr>
        <w:t>，封闭且防刺穿，利器盒内盛装物不撒漏，在不破坏的情况下无法被再次打开</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其盛装的注射器针头、玻璃碎片等锐利器具不能刺穿</w:t>
      </w:r>
      <w:r>
        <w:rPr>
          <w:rFonts w:hint="eastAsia" w:ascii="仿宋_GB2312" w:hAnsi="仿宋_GB2312" w:eastAsia="仿宋_GB2312" w:cs="仿宋_GB2312"/>
          <w:color w:val="000000"/>
          <w:kern w:val="0"/>
          <w:sz w:val="28"/>
          <w:szCs w:val="28"/>
          <w:lang w:eastAsia="zh-CN"/>
        </w:rPr>
        <w:t>锐器盒</w:t>
      </w:r>
      <w:r>
        <w:rPr>
          <w:rFonts w:hint="eastAsia" w:ascii="仿宋_GB2312" w:hAnsi="仿宋_GB2312" w:eastAsia="仿宋_GB2312" w:cs="仿宋_GB2312"/>
          <w:color w:val="000000"/>
          <w:kern w:val="0"/>
          <w:sz w:val="28"/>
          <w:szCs w:val="28"/>
        </w:rPr>
        <w:t>。</w:t>
      </w:r>
    </w:p>
    <w:p w14:paraId="3DFB6FDE">
      <w:pPr>
        <w:pStyle w:val="43"/>
        <w:widowControl/>
        <w:numPr>
          <w:ilvl w:val="0"/>
          <w:numId w:val="0"/>
        </w:numPr>
        <w:spacing w:line="360" w:lineRule="auto"/>
        <w:ind w:left="279" w:leftChars="133"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（五）锐器盒</w:t>
      </w:r>
      <w:r>
        <w:rPr>
          <w:rFonts w:hint="eastAsia" w:ascii="仿宋_GB2312" w:hAnsi="仿宋_GB2312" w:eastAsia="仿宋_GB2312" w:cs="仿宋_GB2312"/>
          <w:sz w:val="28"/>
          <w:szCs w:val="28"/>
        </w:rPr>
        <w:t>使用方法</w:t>
      </w:r>
    </w:p>
    <w:p w14:paraId="2D058380">
      <w:pPr>
        <w:pStyle w:val="43"/>
        <w:widowControl/>
        <w:numPr>
          <w:ilvl w:val="0"/>
          <w:numId w:val="0"/>
        </w:numPr>
        <w:spacing w:line="360" w:lineRule="auto"/>
        <w:ind w:left="279" w:leftChars="133"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安装</w:t>
      </w:r>
      <w:r>
        <w:rPr>
          <w:rFonts w:hint="eastAsia" w:ascii="仿宋_GB2312" w:hAnsi="仿宋_GB2312" w:eastAsia="仿宋_GB2312" w:cs="仿宋_GB2312"/>
          <w:sz w:val="28"/>
          <w:szCs w:val="28"/>
          <w:lang w:eastAsia="zh-CN"/>
        </w:rPr>
        <w:t>锐器盒</w:t>
      </w:r>
      <w:r>
        <w:rPr>
          <w:rFonts w:hint="eastAsia" w:ascii="仿宋_GB2312" w:hAnsi="仿宋_GB2312" w:eastAsia="仿宋_GB2312" w:cs="仿宋_GB2312"/>
          <w:sz w:val="28"/>
          <w:szCs w:val="28"/>
        </w:rPr>
        <w:t>：将盒体与盒盖对接用力下压安装成整体。</w:t>
      </w:r>
    </w:p>
    <w:p w14:paraId="4A78F7E4">
      <w:pPr>
        <w:pStyle w:val="43"/>
        <w:widowControl/>
        <w:numPr>
          <w:ilvl w:val="0"/>
          <w:numId w:val="0"/>
        </w:numPr>
        <w:spacing w:line="360" w:lineRule="auto"/>
        <w:ind w:leftChars="26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锐器盒使用时</w:t>
      </w:r>
      <w:r>
        <w:rPr>
          <w:rFonts w:hint="eastAsia" w:ascii="仿宋_GB2312" w:hAnsi="仿宋_GB2312" w:eastAsia="仿宋_GB2312" w:cs="仿宋_GB2312"/>
          <w:sz w:val="28"/>
          <w:szCs w:val="28"/>
        </w:rPr>
        <w:t>，可开启或闭合</w:t>
      </w:r>
      <w:r>
        <w:rPr>
          <w:rFonts w:hint="eastAsia" w:ascii="仿宋_GB2312" w:hAnsi="仿宋_GB2312" w:eastAsia="仿宋_GB2312" w:cs="仿宋_GB2312"/>
          <w:sz w:val="28"/>
          <w:szCs w:val="28"/>
          <w:lang w:eastAsia="zh-CN"/>
        </w:rPr>
        <w:t>锐器盒</w:t>
      </w:r>
      <w:r>
        <w:rPr>
          <w:rFonts w:hint="eastAsia" w:ascii="仿宋_GB2312" w:hAnsi="仿宋_GB2312" w:eastAsia="仿宋_GB2312" w:cs="仿宋_GB2312"/>
          <w:sz w:val="28"/>
          <w:szCs w:val="28"/>
        </w:rPr>
        <w:t>。　</w:t>
      </w:r>
    </w:p>
    <w:p w14:paraId="3F644A81">
      <w:pPr>
        <w:pStyle w:val="43"/>
        <w:widowControl/>
        <w:numPr>
          <w:ilvl w:val="0"/>
          <w:numId w:val="0"/>
        </w:numPr>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当</w:t>
      </w:r>
      <w:r>
        <w:rPr>
          <w:rFonts w:hint="eastAsia" w:ascii="仿宋_GB2312" w:hAnsi="仿宋_GB2312" w:eastAsia="仿宋_GB2312" w:cs="仿宋_GB2312"/>
          <w:sz w:val="28"/>
          <w:szCs w:val="28"/>
          <w:lang w:val="en-US" w:eastAsia="zh-CN"/>
        </w:rPr>
        <w:t>锐器盒</w:t>
      </w:r>
      <w:r>
        <w:rPr>
          <w:rFonts w:hint="eastAsia" w:ascii="仿宋_GB2312" w:hAnsi="仿宋_GB2312" w:eastAsia="仿宋_GB2312" w:cs="仿宋_GB2312"/>
          <w:sz w:val="28"/>
          <w:szCs w:val="28"/>
        </w:rPr>
        <w:t>被盛满至容积的70％时，应封闭</w:t>
      </w:r>
      <w:r>
        <w:rPr>
          <w:rFonts w:hint="eastAsia" w:ascii="仿宋_GB2312" w:hAnsi="仿宋_GB2312" w:eastAsia="仿宋_GB2312" w:cs="仿宋_GB2312"/>
          <w:sz w:val="28"/>
          <w:szCs w:val="28"/>
          <w:lang w:val="en-US" w:eastAsia="zh-CN"/>
        </w:rPr>
        <w:t>锐器盒</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锐器盒锁定后，无法再被开启</w:t>
      </w:r>
      <w:r>
        <w:rPr>
          <w:rFonts w:hint="eastAsia" w:ascii="仿宋_GB2312" w:hAnsi="仿宋_GB2312" w:eastAsia="仿宋_GB2312" w:cs="仿宋_GB2312"/>
          <w:sz w:val="28"/>
          <w:szCs w:val="28"/>
        </w:rPr>
        <w:t>。</w:t>
      </w:r>
    </w:p>
    <w:p w14:paraId="54AEC7E4">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u w:val="single"/>
          <w:lang w:val="en-US" w:eastAsia="zh-CN" w:bidi="ar"/>
        </w:rPr>
        <w:t>（六）满盛装量（</w:t>
      </w:r>
      <w:r>
        <w:rPr>
          <w:rFonts w:hint="eastAsia" w:ascii="仿宋_GB2312" w:hAnsi="仿宋_GB2312" w:eastAsia="仿宋_GB2312" w:cs="仿宋_GB2312"/>
          <w:sz w:val="28"/>
          <w:szCs w:val="28"/>
          <w:u w:val="single"/>
        </w:rPr>
        <w:t>至容积的70％</w:t>
      </w:r>
      <w:r>
        <w:rPr>
          <w:rFonts w:hint="eastAsia" w:ascii="仿宋_GB2312" w:hAnsi="仿宋_GB2312" w:eastAsia="仿宋_GB2312" w:cs="仿宋_GB2312"/>
          <w:color w:val="000000"/>
          <w:kern w:val="0"/>
          <w:sz w:val="28"/>
          <w:szCs w:val="28"/>
          <w:u w:val="single"/>
          <w:lang w:val="en-US" w:eastAsia="zh-CN" w:bidi="ar"/>
        </w:rPr>
        <w:t xml:space="preserve">）的锐器盒从 1.2m 高处自由跌落至水泥地面，连续 3 次，不会出现破裂、被刺穿等情况。 </w:t>
      </w:r>
    </w:p>
    <w:p w14:paraId="5716ABEA">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七</w:t>
      </w:r>
      <w:r>
        <w:rPr>
          <w:rFonts w:hint="eastAsia" w:ascii="仿宋_GB2312" w:hAnsi="仿宋_GB2312" w:eastAsia="仿宋_GB2312" w:cs="仿宋_GB2312"/>
          <w:color w:val="000000"/>
          <w:kern w:val="0"/>
          <w:sz w:val="28"/>
          <w:szCs w:val="28"/>
          <w:lang w:eastAsia="zh-CN"/>
        </w:rPr>
        <w:t>）锐器盒</w:t>
      </w:r>
      <w:r>
        <w:rPr>
          <w:rFonts w:hint="eastAsia" w:ascii="仿宋_GB2312" w:hAnsi="仿宋_GB2312" w:eastAsia="仿宋_GB2312" w:cs="仿宋_GB2312"/>
          <w:color w:val="000000"/>
          <w:kern w:val="0"/>
          <w:sz w:val="28"/>
          <w:szCs w:val="28"/>
        </w:rPr>
        <w:t>整体颜色为淡黄，</w:t>
      </w:r>
      <w:r>
        <w:rPr>
          <w:rFonts w:hint="eastAsia" w:ascii="仿宋_GB2312" w:hAnsi="仿宋_GB2312" w:eastAsia="仿宋_GB2312" w:cs="仿宋_GB2312"/>
          <w:color w:val="000000"/>
          <w:kern w:val="0"/>
          <w:sz w:val="28"/>
          <w:szCs w:val="28"/>
          <w:lang w:eastAsia="zh-CN"/>
        </w:rPr>
        <w:t>锐器盒</w:t>
      </w:r>
      <w:r>
        <w:rPr>
          <w:rFonts w:hint="eastAsia" w:ascii="仿宋_GB2312" w:hAnsi="仿宋_GB2312" w:eastAsia="仿宋_GB2312" w:cs="仿宋_GB2312"/>
          <w:color w:val="000000"/>
          <w:kern w:val="0"/>
          <w:sz w:val="28"/>
          <w:szCs w:val="28"/>
        </w:rPr>
        <w:t>侧面明显处应</w:t>
      </w:r>
      <w:r>
        <w:rPr>
          <w:rFonts w:hint="eastAsia" w:ascii="仿宋_GB2312" w:hAnsi="仿宋_GB2312" w:eastAsia="仿宋_GB2312" w:cs="仿宋_GB2312"/>
          <w:color w:val="000000"/>
          <w:kern w:val="0"/>
          <w:sz w:val="28"/>
          <w:szCs w:val="28"/>
          <w:lang w:val="en-US" w:eastAsia="zh-CN"/>
        </w:rPr>
        <w:t>具有</w:t>
      </w:r>
      <w:r>
        <w:rPr>
          <w:rFonts w:hint="eastAsia" w:ascii="仿宋_GB2312" w:hAnsi="仿宋_GB2312" w:eastAsia="仿宋_GB2312" w:cs="仿宋_GB2312"/>
          <w:color w:val="000000"/>
          <w:kern w:val="0"/>
          <w:sz w:val="28"/>
          <w:szCs w:val="28"/>
        </w:rPr>
        <w:t>警示标志</w:t>
      </w:r>
      <w:r>
        <w:rPr>
          <w:rFonts w:hint="eastAsia" w:ascii="仿宋_GB2312" w:hAnsi="仿宋_GB2312" w:eastAsia="仿宋_GB2312" w:cs="仿宋_GB2312"/>
          <w:color w:val="000000"/>
          <w:kern w:val="0"/>
          <w:sz w:val="28"/>
          <w:szCs w:val="28"/>
          <w:lang w:val="en-US" w:eastAsia="zh-CN"/>
        </w:rPr>
        <w:t>和</w:t>
      </w:r>
      <w:r>
        <w:rPr>
          <w:rFonts w:hint="eastAsia" w:ascii="仿宋_GB2312" w:hAnsi="仿宋_GB2312" w:eastAsia="仿宋_GB2312" w:cs="仿宋_GB2312"/>
          <w:color w:val="000000"/>
          <w:kern w:val="0"/>
          <w:sz w:val="28"/>
          <w:szCs w:val="28"/>
        </w:rPr>
        <w:t>警告语</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警告语内容</w:t>
      </w:r>
      <w:r>
        <w:rPr>
          <w:rFonts w:hint="eastAsia" w:ascii="仿宋_GB2312" w:hAnsi="仿宋_GB2312" w:eastAsia="仿宋_GB2312" w:cs="仿宋_GB2312"/>
          <w:color w:val="000000"/>
          <w:kern w:val="0"/>
          <w:sz w:val="28"/>
          <w:szCs w:val="28"/>
        </w:rPr>
        <w:t>为</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警告！损伤性废物</w:t>
      </w:r>
      <w:r>
        <w:rPr>
          <w:rFonts w:hint="eastAsia" w:ascii="仿宋_GB2312" w:hAnsi="仿宋_GB2312" w:eastAsia="仿宋_GB2312" w:cs="仿宋_GB2312"/>
          <w:color w:val="000000"/>
          <w:kern w:val="0"/>
          <w:sz w:val="28"/>
          <w:szCs w:val="28"/>
          <w:lang w:val="en-US" w:eastAsia="zh-CN"/>
        </w:rPr>
        <w:t xml:space="preserve"> Warning!</w:t>
      </w:r>
      <w:r>
        <w:rPr>
          <w:rFonts w:hint="eastAsia" w:ascii="仿宋_GB2312" w:hAnsi="仿宋_GB2312" w:eastAsia="仿宋_GB2312" w:cs="仿宋_GB2312"/>
          <w:i w:val="0"/>
          <w:iCs w:val="0"/>
          <w:caps w:val="0"/>
          <w:color w:val="333333"/>
          <w:spacing w:val="0"/>
          <w:sz w:val="28"/>
          <w:szCs w:val="28"/>
          <w:u w:val="none"/>
          <w:shd w:val="clear" w:fill="FFFFFF"/>
          <w:lang w:val="en-US" w:eastAsia="zh-CN"/>
        </w:rPr>
        <w:t>D</w:t>
      </w:r>
      <w:r>
        <w:rPr>
          <w:rFonts w:hint="eastAsia" w:ascii="仿宋_GB2312" w:hAnsi="仿宋_GB2312" w:eastAsia="仿宋_GB2312" w:cs="仿宋_GB2312"/>
          <w:i w:val="0"/>
          <w:iCs w:val="0"/>
          <w:caps w:val="0"/>
          <w:color w:val="333333"/>
          <w:spacing w:val="0"/>
          <w:sz w:val="28"/>
          <w:szCs w:val="28"/>
          <w:u w:val="none"/>
          <w:shd w:val="clear" w:fill="FFFFFF"/>
        </w:rPr>
        <w:t>amage medical waste</w:t>
      </w:r>
      <w:r>
        <w:rPr>
          <w:rFonts w:hint="eastAsia" w:ascii="仿宋_GB2312" w:hAnsi="仿宋_GB2312" w:eastAsia="仿宋_GB2312" w:cs="仿宋_GB2312"/>
          <w:i w:val="0"/>
          <w:iCs w:val="0"/>
          <w:caps w:val="0"/>
          <w:color w:val="333333"/>
          <w:spacing w:val="0"/>
          <w:sz w:val="28"/>
          <w:szCs w:val="28"/>
          <w:u w:val="none"/>
          <w:shd w:val="clear" w:fill="FFFFFF"/>
          <w:lang w:eastAsia="zh-CN"/>
        </w:rPr>
        <w:t>”</w:t>
      </w:r>
      <w:r>
        <w:rPr>
          <w:rFonts w:hint="eastAsia" w:ascii="仿宋_GB2312" w:hAnsi="仿宋_GB2312" w:eastAsia="仿宋_GB2312" w:cs="仿宋_GB2312"/>
          <w:i w:val="0"/>
          <w:iCs w:val="0"/>
          <w:caps w:val="0"/>
          <w:color w:val="333333"/>
          <w:spacing w:val="0"/>
          <w:sz w:val="28"/>
          <w:szCs w:val="28"/>
          <w:u w:val="none"/>
          <w:shd w:val="clear" w:fill="FFFFFF"/>
        </w:rPr>
        <w:t xml:space="preserve"> </w:t>
      </w:r>
      <w:r>
        <w:rPr>
          <w:rFonts w:hint="eastAsia" w:ascii="仿宋_GB2312" w:hAnsi="仿宋_GB2312" w:eastAsia="仿宋_GB2312" w:cs="仿宋_GB2312"/>
          <w:color w:val="000000"/>
          <w:kern w:val="0"/>
          <w:sz w:val="28"/>
          <w:szCs w:val="28"/>
        </w:rPr>
        <w:t>。</w:t>
      </w:r>
    </w:p>
    <w:p w14:paraId="5EE6D582">
      <w:pPr>
        <w:pStyle w:val="43"/>
        <w:widowControl/>
        <w:numPr>
          <w:ilvl w:val="0"/>
          <w:numId w:val="0"/>
        </w:numPr>
        <w:spacing w:line="36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（八）锐器盒必须具有规范的警示标志和警告语，根据国家环境保护总局/卫生部发布HJ421-2008《医疗废物专用包装袋、锐器盒警示标志标准》，其要求如下：</w:t>
      </w:r>
    </w:p>
    <w:p w14:paraId="6C750952">
      <w:pPr>
        <w:pStyle w:val="43"/>
        <w:widowControl/>
        <w:numPr>
          <w:ilvl w:val="0"/>
          <w:numId w:val="0"/>
        </w:numPr>
        <w:spacing w:line="360" w:lineRule="auto"/>
        <w:ind w:firstLine="560" w:firstLineChars="20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drawing>
          <wp:inline distT="0" distB="0" distL="114300" distR="114300">
            <wp:extent cx="2633980" cy="1924685"/>
            <wp:effectExtent l="0" t="0" r="13970" b="18415"/>
            <wp:docPr id="8" name="图片 8" descr="微信图片_2023031515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315151009"/>
                    <pic:cNvPicPr>
                      <a:picLocks noChangeAspect="1"/>
                    </pic:cNvPicPr>
                  </pic:nvPicPr>
                  <pic:blipFill>
                    <a:blip r:embed="rId17"/>
                    <a:stretch>
                      <a:fillRect/>
                    </a:stretch>
                  </pic:blipFill>
                  <pic:spPr>
                    <a:xfrm>
                      <a:off x="0" y="0"/>
                      <a:ext cx="2633980" cy="1924685"/>
                    </a:xfrm>
                    <a:prstGeom prst="rect">
                      <a:avLst/>
                    </a:prstGeom>
                  </pic:spPr>
                </pic:pic>
              </a:graphicData>
            </a:graphic>
          </wp:inline>
        </w:drawing>
      </w:r>
    </w:p>
    <w:p w14:paraId="45EC34D2">
      <w:pPr>
        <w:pStyle w:val="43"/>
        <w:widowControl/>
        <w:numPr>
          <w:ilvl w:val="0"/>
          <w:numId w:val="0"/>
        </w:numPr>
        <w:spacing w:line="360" w:lineRule="auto"/>
        <w:ind w:firstLine="560" w:firstLineChars="20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auto"/>
          <w:kern w:val="0"/>
          <w:sz w:val="28"/>
          <w:szCs w:val="28"/>
          <w:lang w:val="en-US" w:eastAsia="zh-CN" w:bidi="ar"/>
        </w:rPr>
        <w:t>锐器盒</w:t>
      </w:r>
      <w:r>
        <w:rPr>
          <w:rFonts w:hint="eastAsia" w:ascii="仿宋_GB2312" w:hAnsi="仿宋_GB2312" w:eastAsia="仿宋_GB2312" w:cs="仿宋_GB2312"/>
          <w:color w:val="auto"/>
          <w:kern w:val="0"/>
          <w:sz w:val="28"/>
          <w:szCs w:val="28"/>
        </w:rPr>
        <w:t>侧面明显处</w:t>
      </w:r>
      <w:r>
        <w:rPr>
          <w:rFonts w:hint="eastAsia" w:ascii="仿宋_GB2312" w:hAnsi="仿宋_GB2312" w:eastAsia="仿宋_GB2312" w:cs="仿宋_GB2312"/>
          <w:color w:val="auto"/>
          <w:kern w:val="0"/>
          <w:sz w:val="28"/>
          <w:szCs w:val="28"/>
          <w:lang w:val="en-US" w:eastAsia="zh-CN" w:bidi="ar"/>
        </w:rPr>
        <w:t>应有上图规范警示标志</w:t>
      </w:r>
      <w:r>
        <w:rPr>
          <w:rFonts w:hint="eastAsia" w:ascii="仿宋_GB2312" w:hAnsi="仿宋_GB2312" w:eastAsia="仿宋_GB2312" w:cs="仿宋_GB2312"/>
          <w:color w:val="000000"/>
          <w:kern w:val="0"/>
          <w:sz w:val="28"/>
          <w:szCs w:val="28"/>
          <w:lang w:val="en-US" w:eastAsia="zh-CN" w:bidi="ar"/>
        </w:rPr>
        <w:t>）</w:t>
      </w:r>
    </w:p>
    <w:p w14:paraId="4FBA79AA">
      <w:pPr>
        <w:pStyle w:val="43"/>
        <w:widowControl/>
        <w:numPr>
          <w:ilvl w:val="0"/>
          <w:numId w:val="0"/>
        </w:numPr>
        <w:spacing w:line="360" w:lineRule="auto"/>
        <w:ind w:firstLine="560" w:firstLineChars="200"/>
        <w:jc w:val="left"/>
        <w:rPr>
          <w:rFonts w:hint="eastAsia" w:ascii="仿宋_GB2312" w:hAnsi="仿宋_GB2312" w:eastAsia="仿宋_GB2312" w:cs="仿宋_GB2312"/>
          <w:color w:val="000000"/>
          <w:kern w:val="0"/>
          <w:sz w:val="28"/>
          <w:szCs w:val="28"/>
          <w:lang w:val="en-US" w:eastAsia="zh-CN" w:bidi="ar"/>
        </w:rPr>
      </w:pPr>
    </w:p>
    <w:p w14:paraId="5BF8D20C">
      <w:pPr>
        <w:keepNext w:val="0"/>
        <w:keepLines w:val="0"/>
        <w:widowControl/>
        <w:numPr>
          <w:ilvl w:val="0"/>
          <w:numId w:val="9"/>
        </w:numPr>
        <w:suppressLineNumbers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警示标志与警告语组合使用，其中</w:t>
      </w:r>
      <w:r>
        <w:rPr>
          <w:rFonts w:hint="eastAsia" w:ascii="仿宋_GB2312" w:hAnsi="仿宋_GB2312" w:eastAsia="仿宋_GB2312" w:cs="仿宋_GB2312"/>
          <w:color w:val="000000"/>
          <w:kern w:val="0"/>
          <w:sz w:val="28"/>
          <w:szCs w:val="28"/>
          <w:lang w:val="en-US" w:eastAsia="zh-CN" w:bidi="ar"/>
        </w:rPr>
        <w:t>警示标志采用菱形边框、黑色、背景色为淡黄。</w:t>
      </w:r>
    </w:p>
    <w:p w14:paraId="6488B8B2">
      <w:pPr>
        <w:keepNext w:val="0"/>
        <w:keepLines w:val="0"/>
        <w:widowControl/>
        <w:numPr>
          <w:ilvl w:val="0"/>
          <w:numId w:val="0"/>
        </w:numPr>
        <w:suppressLineNumbers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警告语采用中英文文字、字体黑色。 </w:t>
      </w:r>
    </w:p>
    <w:p w14:paraId="383954B5">
      <w:pPr>
        <w:pStyle w:val="43"/>
        <w:widowControl/>
        <w:numPr>
          <w:ilvl w:val="0"/>
          <w:numId w:val="9"/>
        </w:numPr>
        <w:spacing w:line="360" w:lineRule="auto"/>
        <w:ind w:left="0" w:leftChars="0"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锐器盒使用的警示标志中的：</w:t>
      </w:r>
    </w:p>
    <w:p w14:paraId="30B896B3">
      <w:pPr>
        <w:pStyle w:val="43"/>
        <w:widowControl/>
        <w:numPr>
          <w:ilvl w:val="0"/>
          <w:numId w:val="0"/>
        </w:numPr>
        <w:spacing w:line="360" w:lineRule="auto"/>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医疗废物图案的高度最小为2.5cm </w:t>
      </w:r>
    </w:p>
    <w:p w14:paraId="12B612E9">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中文文字的高度最小为 0.5cm </w:t>
      </w:r>
    </w:p>
    <w:p w14:paraId="49678D52">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英文文字的高度最小为 0.3cm </w:t>
      </w:r>
    </w:p>
    <w:p w14:paraId="65F21333">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警示标志最小为 </w:t>
      </w:r>
      <w:r>
        <w:rPr>
          <w:rFonts w:hint="eastAsia" w:ascii="仿宋_GB2312" w:hAnsi="仿宋_GB2312" w:eastAsia="仿宋_GB2312" w:cs="仿宋_GB2312"/>
          <w:color w:val="000000"/>
          <w:kern w:val="0"/>
          <w:sz w:val="28"/>
          <w:szCs w:val="28"/>
          <w:u w:val="none"/>
          <w:lang w:val="en-US" w:eastAsia="zh-CN"/>
        </w:rPr>
        <w:t>6.0cm×6.0c</w:t>
      </w:r>
      <w:r>
        <w:rPr>
          <w:rFonts w:hint="eastAsia" w:ascii="仿宋_GB2312" w:hAnsi="仿宋_GB2312" w:eastAsia="仿宋_GB2312" w:cs="仿宋_GB2312"/>
          <w:color w:val="000000"/>
          <w:kern w:val="0"/>
          <w:sz w:val="28"/>
          <w:szCs w:val="28"/>
          <w:lang w:val="en-US" w:eastAsia="zh-CN"/>
        </w:rPr>
        <w:t xml:space="preserve">m </w:t>
      </w:r>
    </w:p>
    <w:p w14:paraId="3B45C543">
      <w:pPr>
        <w:keepNext w:val="0"/>
        <w:keepLines w:val="0"/>
        <w:widowControl/>
        <w:suppressLineNumbers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3、带有警告语的警示标志的底色为容器的背景色，边框和警告语的颜色均为黑色。 </w:t>
      </w:r>
    </w:p>
    <w:p w14:paraId="7BD0E26C">
      <w:pPr>
        <w:keepNext w:val="0"/>
        <w:keepLines w:val="0"/>
        <w:widowControl/>
        <w:suppressLineNumbers w:val="0"/>
        <w:spacing w:line="360" w:lineRule="auto"/>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val="en-US" w:eastAsia="zh-CN" w:bidi="ar"/>
        </w:rPr>
        <w:t xml:space="preserve">4、警示标志和警告语的印刷质量要求油墨均匀；图案、文字清晰、完整；套印准确，套印误差应不大于1mm。 </w:t>
      </w:r>
    </w:p>
    <w:p w14:paraId="6C72D3C3">
      <w:pPr>
        <w:numPr>
          <w:ilvl w:val="0"/>
          <w:numId w:val="0"/>
        </w:numPr>
        <w:tabs>
          <w:tab w:val="left" w:pos="3120"/>
        </w:tabs>
        <w:spacing w:line="360" w:lineRule="auto"/>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color w:val="000000"/>
          <w:kern w:val="0"/>
          <w:sz w:val="28"/>
          <w:szCs w:val="28"/>
          <w:lang w:val="en-US" w:eastAsia="zh-CN" w:bidi="ar"/>
        </w:rPr>
        <w:t>3、货物外观要求完好，</w:t>
      </w:r>
      <w:r>
        <w:rPr>
          <w:rFonts w:hint="eastAsia" w:ascii="仿宋_GB2312" w:hAnsi="仿宋_GB2312" w:eastAsia="仿宋_GB2312" w:cs="仿宋_GB2312"/>
          <w:bCs/>
          <w:sz w:val="28"/>
          <w:szCs w:val="28"/>
        </w:rPr>
        <w:t>内外表面清洁、无异味，无异物、无</w:t>
      </w:r>
      <w:r>
        <w:rPr>
          <w:rFonts w:hint="eastAsia" w:ascii="仿宋_GB2312" w:hAnsi="仿宋_GB2312" w:eastAsia="仿宋_GB2312" w:cs="仿宋_GB2312"/>
          <w:color w:val="000000"/>
          <w:kern w:val="0"/>
          <w:sz w:val="28"/>
          <w:szCs w:val="28"/>
          <w:lang w:val="en-US" w:eastAsia="zh-CN" w:bidi="ar"/>
        </w:rPr>
        <w:t>污迹</w:t>
      </w:r>
      <w:r>
        <w:rPr>
          <w:rFonts w:hint="eastAsia" w:ascii="仿宋_GB2312" w:hAnsi="仿宋_GB2312" w:eastAsia="仿宋_GB2312" w:cs="仿宋_GB2312"/>
          <w:bCs/>
          <w:sz w:val="28"/>
          <w:szCs w:val="28"/>
          <w:lang w:eastAsia="zh-CN"/>
        </w:rPr>
        <w:t>；</w:t>
      </w:r>
    </w:p>
    <w:p w14:paraId="685280DB">
      <w:pPr>
        <w:tabs>
          <w:tab w:val="left" w:pos="3120"/>
        </w:tabs>
        <w:spacing w:line="360" w:lineRule="auto"/>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Cs/>
          <w:sz w:val="28"/>
          <w:szCs w:val="28"/>
          <w:lang w:val="en-US" w:eastAsia="zh-CN"/>
        </w:rPr>
        <w:t>有</w:t>
      </w:r>
      <w:r>
        <w:rPr>
          <w:rFonts w:hint="eastAsia" w:ascii="仿宋_GB2312" w:hAnsi="仿宋_GB2312" w:eastAsia="仿宋_GB2312" w:cs="仿宋_GB2312"/>
          <w:color w:val="000000"/>
          <w:kern w:val="0"/>
          <w:sz w:val="28"/>
          <w:szCs w:val="28"/>
          <w:lang w:val="en-US" w:eastAsia="zh-CN" w:bidi="ar"/>
        </w:rPr>
        <w:t>文字图案要求的货物，文字图案要印制清晰不掉色。</w:t>
      </w:r>
    </w:p>
    <w:p w14:paraId="73E77E67">
      <w:pPr>
        <w:tabs>
          <w:tab w:val="left" w:pos="3120"/>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kern w:val="0"/>
          <w:sz w:val="28"/>
          <w:szCs w:val="28"/>
          <w:lang w:val="en-US" w:eastAsia="zh-CN" w:bidi="ar"/>
        </w:rPr>
        <w:t>货物要求韧性好、表面光滑平整、没有明显凹陷、无毛刺、无皱褶、无杂质、完整无裂损、</w:t>
      </w:r>
      <w:r>
        <w:rPr>
          <w:rFonts w:hint="eastAsia" w:ascii="仿宋_GB2312" w:hAnsi="仿宋_GB2312" w:eastAsia="仿宋_GB2312" w:cs="仿宋_GB2312"/>
          <w:bCs/>
          <w:sz w:val="28"/>
          <w:szCs w:val="28"/>
          <w:lang w:val="en-US" w:eastAsia="zh-CN"/>
        </w:rPr>
        <w:t>无</w:t>
      </w:r>
      <w:r>
        <w:rPr>
          <w:rFonts w:hint="eastAsia" w:ascii="仿宋_GB2312" w:hAnsi="仿宋_GB2312" w:eastAsia="仿宋_GB2312" w:cs="仿宋_GB2312"/>
          <w:color w:val="000000"/>
          <w:kern w:val="0"/>
          <w:sz w:val="28"/>
          <w:szCs w:val="28"/>
          <w:lang w:val="en-US" w:eastAsia="zh-CN" w:bidi="ar"/>
        </w:rPr>
        <w:t>气泡、针孔以及其他缺陷；</w:t>
      </w:r>
    </w:p>
    <w:p w14:paraId="74D799E3">
      <w:pPr>
        <w:tabs>
          <w:tab w:val="left" w:pos="3120"/>
        </w:tabs>
        <w:spacing w:line="360" w:lineRule="auto"/>
        <w:ind w:firstLine="562" w:firstLineChars="200"/>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四、所有塑料制品质量要求（技术要求）</w:t>
      </w:r>
    </w:p>
    <w:p w14:paraId="7DC66D48">
      <w:pPr>
        <w:numPr>
          <w:ilvl w:val="0"/>
          <w:numId w:val="0"/>
        </w:numPr>
        <w:tabs>
          <w:tab w:val="left" w:pos="3120"/>
        </w:tabs>
        <w:spacing w:line="360" w:lineRule="auto"/>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供应商所提供的货物应等于或优于遴选文件对货物技术参数要求，不得出现负偏离。若遴选文件中的技术要求无明确说明，则按国家有关部门及行业最新颁布的要求为准，包括货物售后质保期时间。货物必须符合或优于国家环保要求。</w:t>
      </w:r>
    </w:p>
    <w:p w14:paraId="42CEEFF3">
      <w:pPr>
        <w:pStyle w:val="22"/>
        <w:numPr>
          <w:ilvl w:val="4"/>
          <w:numId w:val="0"/>
        </w:num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供货时供应商应箱装并做好保护，破损由供应商补发。外包装为硬质箱装，外包装上有提手或提带，便于货物堆叠码放。大、小便器每个均具有独立密封的内包装，防止污染，防止就诊者使用不洁的便器感染。</w:t>
      </w:r>
    </w:p>
    <w:p w14:paraId="5DB7BE63">
      <w:pPr>
        <w:numPr>
          <w:ilvl w:val="0"/>
          <w:numId w:val="0"/>
        </w:numPr>
        <w:tabs>
          <w:tab w:val="left" w:pos="3120"/>
        </w:tabs>
        <w:spacing w:line="360" w:lineRule="auto"/>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color w:val="000000"/>
          <w:kern w:val="0"/>
          <w:sz w:val="28"/>
          <w:szCs w:val="28"/>
          <w:lang w:val="en-US" w:eastAsia="zh-CN" w:bidi="ar"/>
        </w:rPr>
        <w:t>3、货物外观要求完好，</w:t>
      </w:r>
      <w:r>
        <w:rPr>
          <w:rFonts w:hint="eastAsia" w:ascii="仿宋_GB2312" w:hAnsi="仿宋_GB2312" w:eastAsia="仿宋_GB2312" w:cs="仿宋_GB2312"/>
          <w:bCs/>
          <w:sz w:val="28"/>
          <w:szCs w:val="28"/>
        </w:rPr>
        <w:t>内外表面清洁、无异味，无异物、无</w:t>
      </w:r>
      <w:r>
        <w:rPr>
          <w:rFonts w:hint="eastAsia" w:ascii="仿宋_GB2312" w:hAnsi="仿宋_GB2312" w:eastAsia="仿宋_GB2312" w:cs="仿宋_GB2312"/>
          <w:color w:val="000000"/>
          <w:kern w:val="0"/>
          <w:sz w:val="28"/>
          <w:szCs w:val="28"/>
          <w:lang w:val="en-US" w:eastAsia="zh-CN" w:bidi="ar"/>
        </w:rPr>
        <w:t>污迹</w:t>
      </w:r>
      <w:r>
        <w:rPr>
          <w:rFonts w:hint="eastAsia" w:ascii="仿宋_GB2312" w:hAnsi="仿宋_GB2312" w:eastAsia="仿宋_GB2312" w:cs="仿宋_GB2312"/>
          <w:bCs/>
          <w:sz w:val="28"/>
          <w:szCs w:val="28"/>
          <w:lang w:eastAsia="zh-CN"/>
        </w:rPr>
        <w:t>；</w:t>
      </w:r>
    </w:p>
    <w:p w14:paraId="62D46FC3">
      <w:pPr>
        <w:tabs>
          <w:tab w:val="left" w:pos="3120"/>
        </w:tabs>
        <w:spacing w:line="360" w:lineRule="auto"/>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Cs/>
          <w:sz w:val="28"/>
          <w:szCs w:val="28"/>
          <w:lang w:val="en-US" w:eastAsia="zh-CN"/>
        </w:rPr>
        <w:t>有</w:t>
      </w:r>
      <w:r>
        <w:rPr>
          <w:rFonts w:hint="eastAsia" w:ascii="仿宋_GB2312" w:hAnsi="仿宋_GB2312" w:eastAsia="仿宋_GB2312" w:cs="仿宋_GB2312"/>
          <w:color w:val="000000"/>
          <w:kern w:val="0"/>
          <w:sz w:val="28"/>
          <w:szCs w:val="28"/>
          <w:lang w:val="en-US" w:eastAsia="zh-CN" w:bidi="ar"/>
        </w:rPr>
        <w:t>文字图案要求的货物，文字图案要印制清晰不掉色。</w:t>
      </w:r>
    </w:p>
    <w:p w14:paraId="20B5E4DF">
      <w:pPr>
        <w:tabs>
          <w:tab w:val="left" w:pos="3120"/>
        </w:tabs>
        <w:spacing w:line="360" w:lineRule="auto"/>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货物要求韧性好、表面光滑平整、没有明显凹陷、无毛刺、无皱褶、无杂质、完整无裂损、</w:t>
      </w:r>
      <w:r>
        <w:rPr>
          <w:rFonts w:hint="eastAsia" w:ascii="仿宋_GB2312" w:hAnsi="仿宋_GB2312" w:eastAsia="仿宋_GB2312" w:cs="仿宋_GB2312"/>
          <w:bCs/>
          <w:sz w:val="28"/>
          <w:szCs w:val="28"/>
          <w:lang w:val="en-US" w:eastAsia="zh-CN"/>
        </w:rPr>
        <w:t>无</w:t>
      </w:r>
      <w:r>
        <w:rPr>
          <w:rFonts w:hint="eastAsia" w:ascii="仿宋_GB2312" w:hAnsi="仿宋_GB2312" w:eastAsia="仿宋_GB2312" w:cs="仿宋_GB2312"/>
          <w:color w:val="000000"/>
          <w:kern w:val="0"/>
          <w:sz w:val="28"/>
          <w:szCs w:val="28"/>
          <w:lang w:val="en-US" w:eastAsia="zh-CN" w:bidi="ar"/>
        </w:rPr>
        <w:t>气泡、针孔以及其他缺陷；</w:t>
      </w:r>
    </w:p>
    <w:p w14:paraId="239B109A">
      <w:pPr>
        <w:numPr>
          <w:ilvl w:val="0"/>
          <w:numId w:val="10"/>
        </w:numPr>
        <w:tabs>
          <w:tab w:val="left" w:pos="3120"/>
        </w:tabs>
        <w:spacing w:line="360" w:lineRule="auto"/>
        <w:ind w:firstLine="562" w:firstLineChars="200"/>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color w:val="auto"/>
          <w:sz w:val="28"/>
          <w:szCs w:val="28"/>
          <w:highlight w:val="none"/>
        </w:rPr>
        <w:t>样品要求</w:t>
      </w:r>
      <w:r>
        <w:rPr>
          <w:rFonts w:hint="eastAsia" w:ascii="仿宋_GB2312" w:hAnsi="仿宋_GB2312" w:eastAsia="仿宋_GB2312" w:cs="仿宋_GB2312"/>
          <w:b/>
          <w:bCs w:val="0"/>
          <w:sz w:val="28"/>
          <w:szCs w:val="28"/>
          <w:lang w:val="en-US" w:eastAsia="zh-CN"/>
        </w:rPr>
        <w:t>（技术要求）</w:t>
      </w:r>
    </w:p>
    <w:p w14:paraId="67717150">
      <w:pPr>
        <w:pStyle w:val="12"/>
        <w:spacing w:line="360" w:lineRule="auto"/>
        <w:ind w:firstLine="560" w:firstLineChars="200"/>
        <w:jc w:val="left"/>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本项目要求供应商按本文件要求提供样品，由采购人</w:t>
      </w:r>
      <w:r>
        <w:rPr>
          <w:rFonts w:hint="eastAsia" w:ascii="仿宋_GB2312" w:hAnsi="仿宋_GB2312" w:eastAsia="仿宋_GB2312" w:cs="仿宋_GB2312"/>
          <w:b w:val="0"/>
          <w:bCs w:val="0"/>
          <w:color w:val="auto"/>
          <w:kern w:val="0"/>
          <w:sz w:val="28"/>
          <w:szCs w:val="28"/>
          <w:highlight w:val="none"/>
        </w:rPr>
        <w:t>对样品</w:t>
      </w:r>
      <w:r>
        <w:rPr>
          <w:rFonts w:hint="eastAsia" w:ascii="仿宋_GB2312" w:hAnsi="仿宋_GB2312" w:eastAsia="仿宋_GB2312" w:cs="仿宋_GB2312"/>
          <w:b w:val="0"/>
          <w:bCs w:val="0"/>
          <w:color w:val="auto"/>
          <w:kern w:val="0"/>
          <w:sz w:val="28"/>
          <w:szCs w:val="28"/>
          <w:highlight w:val="none"/>
          <w:lang w:val="en-US" w:eastAsia="zh-CN"/>
        </w:rPr>
        <w:t>按本文件要求</w:t>
      </w:r>
      <w:r>
        <w:rPr>
          <w:rFonts w:hint="eastAsia" w:ascii="仿宋_GB2312" w:hAnsi="仿宋_GB2312" w:eastAsia="仿宋_GB2312" w:cs="仿宋_GB2312"/>
          <w:b w:val="0"/>
          <w:bCs w:val="0"/>
          <w:color w:val="auto"/>
          <w:kern w:val="0"/>
          <w:sz w:val="28"/>
          <w:szCs w:val="28"/>
          <w:highlight w:val="none"/>
        </w:rPr>
        <w:t>进行</w:t>
      </w:r>
      <w:r>
        <w:rPr>
          <w:rFonts w:hint="eastAsia" w:ascii="仿宋_GB2312" w:hAnsi="仿宋_GB2312" w:eastAsia="仿宋_GB2312" w:cs="仿宋_GB2312"/>
          <w:b w:val="0"/>
          <w:bCs w:val="0"/>
          <w:color w:val="auto"/>
          <w:kern w:val="0"/>
          <w:sz w:val="28"/>
          <w:szCs w:val="28"/>
          <w:highlight w:val="none"/>
          <w:lang w:val="en-US" w:eastAsia="zh-CN"/>
        </w:rPr>
        <w:t>遴选。</w:t>
      </w:r>
    </w:p>
    <w:p w14:paraId="79BC5261">
      <w:pPr>
        <w:pStyle w:val="12"/>
        <w:spacing w:line="360" w:lineRule="auto"/>
        <w:ind w:firstLine="560" w:firstLineChars="200"/>
        <w:jc w:val="left"/>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各</w:t>
      </w:r>
      <w:r>
        <w:rPr>
          <w:rFonts w:hint="eastAsia" w:ascii="仿宋_GB2312" w:hAnsi="仿宋_GB2312" w:eastAsia="仿宋_GB2312" w:cs="仿宋_GB2312"/>
          <w:b w:val="0"/>
          <w:bCs w:val="0"/>
          <w:color w:val="auto"/>
          <w:sz w:val="28"/>
          <w:szCs w:val="28"/>
          <w:highlight w:val="none"/>
        </w:rPr>
        <w:t>潜在供应商需于开标</w:t>
      </w:r>
      <w:r>
        <w:rPr>
          <w:rFonts w:hint="eastAsia" w:ascii="仿宋_GB2312" w:hAnsi="仿宋_GB2312" w:eastAsia="仿宋_GB2312" w:cs="仿宋_GB2312"/>
          <w:b w:val="0"/>
          <w:bCs w:val="0"/>
          <w:color w:val="auto"/>
          <w:sz w:val="28"/>
          <w:szCs w:val="28"/>
          <w:highlight w:val="none"/>
          <w:lang w:val="en-US" w:eastAsia="zh-CN"/>
        </w:rPr>
        <w:t>时</w:t>
      </w:r>
      <w:r>
        <w:rPr>
          <w:rFonts w:hint="eastAsia" w:ascii="仿宋_GB2312" w:hAnsi="仿宋_GB2312" w:eastAsia="仿宋_GB2312" w:cs="仿宋_GB2312"/>
          <w:b w:val="0"/>
          <w:bCs w:val="0"/>
          <w:color w:val="auto"/>
          <w:sz w:val="28"/>
          <w:szCs w:val="28"/>
          <w:highlight w:val="none"/>
        </w:rPr>
        <w:t>提供以下数量及</w:t>
      </w:r>
      <w:r>
        <w:rPr>
          <w:rFonts w:hint="eastAsia" w:ascii="仿宋_GB2312" w:hAnsi="仿宋_GB2312" w:eastAsia="仿宋_GB2312" w:cs="仿宋_GB2312"/>
          <w:b w:val="0"/>
          <w:bCs w:val="0"/>
          <w:color w:val="auto"/>
          <w:sz w:val="28"/>
          <w:szCs w:val="28"/>
          <w:highlight w:val="none"/>
          <w:lang w:val="en-US" w:eastAsia="zh-CN"/>
        </w:rPr>
        <w:t>技术</w:t>
      </w:r>
      <w:r>
        <w:rPr>
          <w:rFonts w:hint="eastAsia" w:ascii="仿宋_GB2312" w:hAnsi="仿宋_GB2312" w:eastAsia="仿宋_GB2312" w:cs="仿宋_GB2312"/>
          <w:b w:val="0"/>
          <w:bCs w:val="0"/>
          <w:color w:val="auto"/>
          <w:sz w:val="28"/>
          <w:szCs w:val="28"/>
          <w:highlight w:val="none"/>
        </w:rPr>
        <w:t>要求的样品</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届时</w:t>
      </w:r>
      <w:r>
        <w:rPr>
          <w:rFonts w:hint="eastAsia" w:ascii="仿宋_GB2312" w:hAnsi="仿宋_GB2312" w:eastAsia="仿宋_GB2312" w:cs="仿宋_GB2312"/>
          <w:b w:val="0"/>
          <w:bCs w:val="0"/>
          <w:color w:val="auto"/>
          <w:sz w:val="28"/>
          <w:szCs w:val="28"/>
          <w:highlight w:val="none"/>
        </w:rPr>
        <w:t>供</w:t>
      </w:r>
      <w:r>
        <w:rPr>
          <w:rFonts w:hint="eastAsia" w:ascii="仿宋_GB2312" w:hAnsi="仿宋_GB2312" w:eastAsia="仿宋_GB2312" w:cs="仿宋_GB2312"/>
          <w:b w:val="0"/>
          <w:bCs w:val="0"/>
          <w:color w:val="auto"/>
          <w:sz w:val="28"/>
          <w:szCs w:val="28"/>
          <w:highlight w:val="none"/>
          <w:lang w:val="en-US" w:eastAsia="zh-CN"/>
        </w:rPr>
        <w:t>采购人遴选</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不提供样品、</w:t>
      </w:r>
      <w:r>
        <w:rPr>
          <w:rFonts w:hint="eastAsia" w:ascii="仿宋_GB2312" w:hAnsi="仿宋_GB2312" w:eastAsia="仿宋_GB2312" w:cs="仿宋_GB2312"/>
          <w:b w:val="0"/>
          <w:bCs w:val="0"/>
          <w:color w:val="auto"/>
          <w:sz w:val="28"/>
          <w:szCs w:val="28"/>
          <w:highlight w:val="none"/>
        </w:rPr>
        <w:t>逾期送达的样品</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数量不符的样品、不符合遴选文件要求的样品均视为供应商不响应遴选文件要求予以成交资格无效化处理。</w:t>
      </w:r>
      <w:r>
        <w:rPr>
          <w:rFonts w:hint="eastAsia" w:ascii="仿宋_GB2312" w:hAnsi="仿宋_GB2312" w:eastAsia="仿宋_GB2312" w:cs="仿宋_GB2312"/>
          <w:b w:val="0"/>
          <w:bCs w:val="0"/>
          <w:color w:val="auto"/>
          <w:kern w:val="0"/>
          <w:sz w:val="28"/>
          <w:szCs w:val="28"/>
          <w:highlight w:val="none"/>
        </w:rPr>
        <w:t>采购活动结束后，对于未</w:t>
      </w:r>
      <w:r>
        <w:rPr>
          <w:rFonts w:hint="eastAsia" w:ascii="仿宋_GB2312" w:hAnsi="仿宋_GB2312" w:eastAsia="仿宋_GB2312" w:cs="仿宋_GB2312"/>
          <w:b w:val="0"/>
          <w:bCs w:val="0"/>
          <w:color w:val="auto"/>
          <w:kern w:val="0"/>
          <w:sz w:val="28"/>
          <w:szCs w:val="28"/>
          <w:highlight w:val="none"/>
          <w:lang w:val="en-US" w:eastAsia="zh-CN"/>
        </w:rPr>
        <w:t>成交供应商</w:t>
      </w:r>
      <w:r>
        <w:rPr>
          <w:rFonts w:hint="eastAsia" w:ascii="仿宋_GB2312" w:hAnsi="仿宋_GB2312" w:eastAsia="仿宋_GB2312" w:cs="仿宋_GB2312"/>
          <w:b w:val="0"/>
          <w:bCs w:val="0"/>
          <w:color w:val="auto"/>
          <w:kern w:val="0"/>
          <w:sz w:val="28"/>
          <w:szCs w:val="28"/>
          <w:highlight w:val="none"/>
        </w:rPr>
        <w:t>提供的样品，</w:t>
      </w:r>
      <w:r>
        <w:rPr>
          <w:rFonts w:hint="eastAsia" w:ascii="仿宋_GB2312" w:hAnsi="仿宋_GB2312" w:eastAsia="仿宋_GB2312" w:cs="仿宋_GB2312"/>
          <w:b w:val="0"/>
          <w:bCs w:val="0"/>
          <w:color w:val="auto"/>
          <w:kern w:val="0"/>
          <w:sz w:val="28"/>
          <w:szCs w:val="28"/>
          <w:highlight w:val="none"/>
          <w:lang w:val="en-US" w:eastAsia="zh-CN"/>
        </w:rPr>
        <w:t>由该供应商</w:t>
      </w:r>
      <w:r>
        <w:rPr>
          <w:rFonts w:hint="eastAsia" w:ascii="仿宋_GB2312" w:hAnsi="仿宋_GB2312" w:eastAsia="仿宋_GB2312" w:cs="仿宋_GB2312"/>
          <w:b w:val="0"/>
          <w:bCs w:val="0"/>
          <w:color w:val="auto"/>
          <w:kern w:val="0"/>
          <w:sz w:val="28"/>
          <w:szCs w:val="28"/>
          <w:highlight w:val="none"/>
        </w:rPr>
        <w:t>自行处理</w:t>
      </w: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rPr>
        <w:t>对于</w:t>
      </w:r>
      <w:r>
        <w:rPr>
          <w:rFonts w:hint="eastAsia" w:ascii="仿宋_GB2312" w:hAnsi="仿宋_GB2312" w:eastAsia="仿宋_GB2312" w:cs="仿宋_GB2312"/>
          <w:b w:val="0"/>
          <w:bCs w:val="0"/>
          <w:color w:val="auto"/>
          <w:kern w:val="0"/>
          <w:sz w:val="28"/>
          <w:szCs w:val="28"/>
          <w:highlight w:val="none"/>
          <w:lang w:val="en-US" w:eastAsia="zh-CN"/>
        </w:rPr>
        <w:t>成交供应商</w:t>
      </w:r>
      <w:r>
        <w:rPr>
          <w:rFonts w:hint="eastAsia" w:ascii="仿宋_GB2312" w:hAnsi="仿宋_GB2312" w:eastAsia="仿宋_GB2312" w:cs="仿宋_GB2312"/>
          <w:b w:val="0"/>
          <w:bCs w:val="0"/>
          <w:color w:val="auto"/>
          <w:kern w:val="0"/>
          <w:sz w:val="28"/>
          <w:szCs w:val="28"/>
          <w:highlight w:val="none"/>
        </w:rPr>
        <w:t>提供的样品，</w:t>
      </w:r>
      <w:r>
        <w:rPr>
          <w:rFonts w:hint="eastAsia" w:ascii="仿宋_GB2312" w:hAnsi="仿宋_GB2312" w:eastAsia="仿宋_GB2312" w:cs="仿宋_GB2312"/>
          <w:b w:val="0"/>
          <w:bCs w:val="0"/>
          <w:color w:val="auto"/>
          <w:kern w:val="0"/>
          <w:sz w:val="28"/>
          <w:szCs w:val="28"/>
          <w:highlight w:val="none"/>
          <w:lang w:val="en-US" w:eastAsia="zh-CN"/>
        </w:rPr>
        <w:t>成交供应商将该样品运送至采购人院区内指定地点</w:t>
      </w:r>
      <w:r>
        <w:rPr>
          <w:rFonts w:hint="eastAsia" w:ascii="仿宋_GB2312" w:hAnsi="仿宋_GB2312" w:eastAsia="仿宋_GB2312" w:cs="仿宋_GB2312"/>
          <w:b w:val="0"/>
          <w:bCs w:val="0"/>
          <w:color w:val="auto"/>
          <w:kern w:val="0"/>
          <w:sz w:val="28"/>
          <w:szCs w:val="28"/>
          <w:highlight w:val="none"/>
        </w:rPr>
        <w:t>进行保管、封存，并作为履约验收的参考。</w:t>
      </w:r>
    </w:p>
    <w:p w14:paraId="23D60CD8">
      <w:p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本项目适用于民法典《买卖合同》中关于“凭样品买卖合同”的法律条款约束，若供应商成交后提供的货物质量低于封存样品的质量标准，视为供应商虚假响应，则供应商构成违约行为，采购人可以解除合同并要求供应商支付成交合同总金额10%的违约金。</w:t>
      </w:r>
    </w:p>
    <w:p w14:paraId="38308654">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color w:val="000000" w:themeColor="text1"/>
          <w:sz w:val="28"/>
          <w:szCs w:val="28"/>
          <w:highlight w:val="none"/>
          <w:lang w:val="en-US" w:eastAsia="zh-CN"/>
          <w14:textFill>
            <w14:solidFill>
              <w14:schemeClr w14:val="tx1"/>
            </w14:solidFill>
          </w14:textFill>
        </w:rPr>
        <w:t>一</w:t>
      </w:r>
      <w:r>
        <w:rPr>
          <w:rFonts w:hint="eastAsia" w:ascii="仿宋_GB2312" w:hAnsi="仿宋_GB2312" w:eastAsia="仿宋_GB2312" w:cs="仿宋_GB2312"/>
          <w:b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color w:val="000000" w:themeColor="text1"/>
          <w:sz w:val="28"/>
          <w:szCs w:val="28"/>
          <w:highlight w:val="none"/>
          <w14:textFill>
            <w14:solidFill>
              <w14:schemeClr w14:val="tx1"/>
            </w14:solidFill>
          </w14:textFill>
        </w:rPr>
        <w:t>样品</w:t>
      </w:r>
      <w:r>
        <w:rPr>
          <w:rFonts w:hint="eastAsia" w:ascii="仿宋_GB2312" w:hAnsi="仿宋_GB2312" w:eastAsia="仿宋_GB2312" w:cs="仿宋_GB2312"/>
          <w:b w:val="0"/>
          <w:color w:val="000000" w:themeColor="text1"/>
          <w:sz w:val="28"/>
          <w:szCs w:val="28"/>
          <w:highlight w:val="none"/>
          <w:lang w:val="en-US" w:eastAsia="zh-CN"/>
          <w14:textFill>
            <w14:solidFill>
              <w14:schemeClr w14:val="tx1"/>
            </w14:solidFill>
          </w14:textFill>
        </w:rPr>
        <w:t>的</w:t>
      </w:r>
      <w:r>
        <w:rPr>
          <w:rFonts w:hint="eastAsia" w:ascii="仿宋_GB2312" w:hAnsi="仿宋_GB2312" w:eastAsia="仿宋_GB2312" w:cs="仿宋_GB2312"/>
          <w:b w:val="0"/>
          <w:color w:val="000000" w:themeColor="text1"/>
          <w:sz w:val="28"/>
          <w:szCs w:val="28"/>
          <w:highlight w:val="none"/>
          <w14:textFill>
            <w14:solidFill>
              <w14:schemeClr w14:val="tx1"/>
            </w14:solidFill>
          </w14:textFill>
        </w:rPr>
        <w:t>名称及数量、</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制作的标准和要求</w:t>
      </w:r>
    </w:p>
    <w:tbl>
      <w:tblPr>
        <w:tblStyle w:val="15"/>
        <w:tblW w:w="10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85"/>
        <w:gridCol w:w="4768"/>
        <w:gridCol w:w="1123"/>
        <w:gridCol w:w="1124"/>
      </w:tblGrid>
      <w:tr w14:paraId="1D0C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14:paraId="0614F144">
            <w:pPr>
              <w:widowControl/>
              <w:spacing w:line="360" w:lineRule="auto"/>
              <w:jc w:val="center"/>
              <w:textAlignment w:val="center"/>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序号</w:t>
            </w:r>
          </w:p>
        </w:tc>
        <w:tc>
          <w:tcPr>
            <w:tcW w:w="2585" w:type="dxa"/>
            <w:vAlign w:val="center"/>
          </w:tcPr>
          <w:p w14:paraId="47280E28">
            <w:pPr>
              <w:widowControl/>
              <w:spacing w:line="360" w:lineRule="auto"/>
              <w:jc w:val="center"/>
              <w:textAlignment w:val="center"/>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rPr>
              <w:t>产品名称</w:t>
            </w:r>
          </w:p>
        </w:tc>
        <w:tc>
          <w:tcPr>
            <w:tcW w:w="4768" w:type="dxa"/>
            <w:vAlign w:val="center"/>
          </w:tcPr>
          <w:p w14:paraId="3A59B8CA">
            <w:pPr>
              <w:widowControl/>
              <w:spacing w:line="360" w:lineRule="auto"/>
              <w:jc w:val="center"/>
              <w:textAlignment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kern w:val="0"/>
                <w:sz w:val="28"/>
                <w:szCs w:val="28"/>
                <w:highlight w:val="none"/>
              </w:rPr>
              <w:t>样品制作的标准和要求、</w:t>
            </w:r>
          </w:p>
        </w:tc>
        <w:tc>
          <w:tcPr>
            <w:tcW w:w="1123" w:type="dxa"/>
            <w:vAlign w:val="center"/>
          </w:tcPr>
          <w:p w14:paraId="74E0048F">
            <w:pPr>
              <w:widowControl/>
              <w:spacing w:line="360" w:lineRule="auto"/>
              <w:jc w:val="center"/>
              <w:textAlignment w:val="center"/>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单位</w:t>
            </w:r>
          </w:p>
        </w:tc>
        <w:tc>
          <w:tcPr>
            <w:tcW w:w="1124" w:type="dxa"/>
            <w:vAlign w:val="center"/>
          </w:tcPr>
          <w:p w14:paraId="00E02838">
            <w:pPr>
              <w:widowControl/>
              <w:spacing w:line="360" w:lineRule="auto"/>
              <w:jc w:val="center"/>
              <w:textAlignment w:val="center"/>
              <w:rPr>
                <w:rFonts w:hint="eastAsia" w:ascii="仿宋_GB2312" w:hAnsi="仿宋_GB2312" w:eastAsia="仿宋_GB2312" w:cs="仿宋_GB2312"/>
                <w:b w:val="0"/>
                <w:bCs w:val="0"/>
                <w:color w:val="auto"/>
                <w:sz w:val="28"/>
                <w:szCs w:val="28"/>
                <w:highlight w:val="none"/>
                <w:lang w:bidi="ar"/>
              </w:rPr>
            </w:pPr>
            <w:r>
              <w:rPr>
                <w:rFonts w:hint="eastAsia" w:ascii="仿宋_GB2312" w:hAnsi="仿宋_GB2312" w:eastAsia="仿宋_GB2312" w:cs="仿宋_GB2312"/>
                <w:b w:val="0"/>
                <w:bCs w:val="0"/>
                <w:color w:val="auto"/>
                <w:sz w:val="28"/>
                <w:szCs w:val="28"/>
                <w:highlight w:val="none"/>
                <w:lang w:bidi="ar"/>
              </w:rPr>
              <w:t>数量</w:t>
            </w:r>
          </w:p>
        </w:tc>
      </w:tr>
      <w:tr w14:paraId="4168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14:paraId="5F3C0AE3">
            <w:pPr>
              <w:widowControl/>
              <w:spacing w:line="360" w:lineRule="auto"/>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bidi="ar"/>
              </w:rPr>
              <w:t>1</w:t>
            </w:r>
          </w:p>
        </w:tc>
        <w:tc>
          <w:tcPr>
            <w:tcW w:w="2585" w:type="dxa"/>
            <w:vAlign w:val="center"/>
          </w:tcPr>
          <w:p w14:paraId="43A58CDA">
            <w:pPr>
              <w:spacing w:line="360" w:lineRule="auto"/>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3升圆形锐器盒</w:t>
            </w:r>
          </w:p>
        </w:tc>
        <w:tc>
          <w:tcPr>
            <w:tcW w:w="4768" w:type="dxa"/>
            <w:vAlign w:val="center"/>
          </w:tcPr>
          <w:p w14:paraId="2747E75B">
            <w:pPr>
              <w:spacing w:line="360" w:lineRule="auto"/>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按遴选文件规定的内容要求制作</w:t>
            </w:r>
          </w:p>
        </w:tc>
        <w:tc>
          <w:tcPr>
            <w:tcW w:w="1123" w:type="dxa"/>
            <w:vAlign w:val="center"/>
          </w:tcPr>
          <w:p w14:paraId="73321427">
            <w:pPr>
              <w:widowControl/>
              <w:spacing w:line="360" w:lineRule="auto"/>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个</w:t>
            </w:r>
          </w:p>
        </w:tc>
        <w:tc>
          <w:tcPr>
            <w:tcW w:w="1124" w:type="dxa"/>
            <w:vAlign w:val="center"/>
          </w:tcPr>
          <w:p w14:paraId="7772F581">
            <w:pPr>
              <w:widowControl/>
              <w:spacing w:line="360" w:lineRule="auto"/>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r>
    </w:tbl>
    <w:p w14:paraId="74BE38A0">
      <w:pPr>
        <w:pStyle w:val="2"/>
        <w:spacing w:line="360" w:lineRule="auto"/>
        <w:ind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rPr>
        <w:t>2、样品的评审方法以及评审标准</w:t>
      </w:r>
    </w:p>
    <w:p w14:paraId="20D2C195">
      <w:pPr>
        <w:pStyle w:val="2"/>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遴选小组对样品实物查验，</w:t>
      </w:r>
      <w:r>
        <w:rPr>
          <w:rFonts w:hint="eastAsia" w:ascii="仿宋_GB2312" w:hAnsi="仿宋_GB2312" w:eastAsia="仿宋_GB2312" w:cs="仿宋_GB2312"/>
          <w:color w:val="auto"/>
          <w:sz w:val="28"/>
          <w:szCs w:val="28"/>
          <w:highlight w:val="none"/>
        </w:rPr>
        <w:t>通过视觉感官、触摸、测量、对比</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实验</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lang w:val="en-US" w:eastAsia="zh-CN"/>
        </w:rPr>
        <w:t>方法</w:t>
      </w:r>
      <w:r>
        <w:rPr>
          <w:rFonts w:hint="eastAsia" w:ascii="仿宋_GB2312" w:hAnsi="仿宋_GB2312" w:eastAsia="仿宋_GB2312" w:cs="仿宋_GB2312"/>
          <w:color w:val="auto"/>
          <w:sz w:val="28"/>
          <w:szCs w:val="28"/>
          <w:highlight w:val="none"/>
        </w:rPr>
        <w:t>对供应商提供的样品进行评审，评审内容如下：</w:t>
      </w:r>
    </w:p>
    <w:p w14:paraId="05A8BB14">
      <w:pPr>
        <w:pStyle w:val="12"/>
        <w:spacing w:before="0" w:after="0" w:line="360" w:lineRule="auto"/>
        <w:ind w:firstLine="560" w:firstLineChars="200"/>
        <w:jc w:val="left"/>
        <w:rPr>
          <w:rFonts w:hint="eastAsia" w:ascii="仿宋_GB2312" w:hAnsi="仿宋_GB2312" w:eastAsia="仿宋_GB2312" w:cs="仿宋_GB2312"/>
          <w:b w:val="0"/>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lang w:val="en-US" w:eastAsia="zh-CN"/>
        </w:rPr>
        <w:t>2.1每位供应商提供1种货物共计3个样品进行评审。</w:t>
      </w:r>
    </w:p>
    <w:p w14:paraId="5D858195">
      <w:pPr>
        <w:pStyle w:val="12"/>
        <w:spacing w:before="0" w:after="0" w:line="360" w:lineRule="auto"/>
        <w:ind w:firstLine="560" w:firstLineChars="200"/>
        <w:jc w:val="left"/>
        <w:rPr>
          <w:rFonts w:hint="eastAsia" w:ascii="仿宋_GB2312" w:hAnsi="仿宋_GB2312" w:eastAsia="仿宋_GB2312" w:cs="仿宋_GB2312"/>
          <w:b w:val="0"/>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lang w:val="en-US" w:eastAsia="zh-CN"/>
        </w:rPr>
        <w:t>2.2采购人从每位供应商的样品中随机抽取1个样品，观察测试样品是否符合遴选文件规定的锐器盒技术要求。</w:t>
      </w:r>
    </w:p>
    <w:p w14:paraId="1BDABDF7">
      <w:pPr>
        <w:pStyle w:val="12"/>
        <w:spacing w:before="0" w:after="0" w:line="360" w:lineRule="auto"/>
        <w:ind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b w:val="0"/>
          <w:color w:val="auto"/>
          <w:sz w:val="28"/>
          <w:szCs w:val="28"/>
          <w:highlight w:val="none"/>
          <w:lang w:val="en-US" w:eastAsia="zh-CN"/>
        </w:rPr>
        <w:t>2.3</w:t>
      </w:r>
      <w:r>
        <w:rPr>
          <w:rFonts w:hint="eastAsia" w:ascii="仿宋_GB2312" w:hAnsi="仿宋_GB2312" w:eastAsia="仿宋_GB2312" w:cs="仿宋_GB2312"/>
          <w:color w:val="000000"/>
          <w:kern w:val="0"/>
          <w:sz w:val="28"/>
          <w:szCs w:val="28"/>
          <w:lang w:val="en-US" w:eastAsia="zh-CN" w:bidi="ar"/>
        </w:rPr>
        <w:t>跌落性能测试</w:t>
      </w:r>
    </w:p>
    <w:p w14:paraId="6759BA0E">
      <w:pPr>
        <w:pStyle w:val="43"/>
        <w:widowControl/>
        <w:numPr>
          <w:ilvl w:val="0"/>
          <w:numId w:val="0"/>
        </w:numPr>
        <w:spacing w:line="360" w:lineRule="auto"/>
        <w:ind w:leftChars="0"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val="0"/>
          <w:color w:val="auto"/>
          <w:sz w:val="28"/>
          <w:szCs w:val="28"/>
          <w:highlight w:val="none"/>
          <w:lang w:val="en-US" w:eastAsia="zh-CN"/>
        </w:rPr>
        <w:t>采购人从每位供应商的样品中随机抽取1个样品，</w:t>
      </w:r>
      <w:r>
        <w:rPr>
          <w:rFonts w:hint="eastAsia" w:ascii="仿宋_GB2312" w:hAnsi="仿宋_GB2312" w:eastAsia="仿宋_GB2312" w:cs="仿宋_GB2312"/>
          <w:color w:val="000000"/>
          <w:kern w:val="0"/>
          <w:sz w:val="28"/>
          <w:szCs w:val="28"/>
          <w:lang w:val="en-US" w:eastAsia="zh-CN" w:bidi="ar"/>
        </w:rPr>
        <w:t>满盛装量（</w:t>
      </w:r>
      <w:r>
        <w:rPr>
          <w:rFonts w:hint="eastAsia" w:ascii="仿宋_GB2312" w:hAnsi="仿宋_GB2312" w:eastAsia="仿宋_GB2312" w:cs="仿宋_GB2312"/>
          <w:sz w:val="28"/>
          <w:szCs w:val="28"/>
        </w:rPr>
        <w:t>至容积的70％</w:t>
      </w:r>
      <w:r>
        <w:rPr>
          <w:rFonts w:hint="eastAsia" w:ascii="仿宋_GB2312" w:hAnsi="仿宋_GB2312" w:eastAsia="仿宋_GB2312" w:cs="仿宋_GB2312"/>
          <w:color w:val="000000"/>
          <w:kern w:val="0"/>
          <w:sz w:val="28"/>
          <w:szCs w:val="28"/>
          <w:lang w:val="en-US" w:eastAsia="zh-CN" w:bidi="ar"/>
        </w:rPr>
        <w:t xml:space="preserve">）的锐器盒从 1.2m 高处自由跌落至水泥地面，连续 3 次，样品不会出现破裂、被刺穿等情况视为合格。 </w:t>
      </w:r>
    </w:p>
    <w:p w14:paraId="39E2B315">
      <w:pPr>
        <w:keepNext w:val="0"/>
        <w:keepLines w:val="0"/>
        <w:pageBreakBefore w:val="0"/>
        <w:kinsoku/>
        <w:wordWrap/>
        <w:overflowPunct/>
        <w:topLinePunct w:val="0"/>
        <w:bidi w:val="0"/>
        <w:adjustRightInd/>
        <w:snapToGrid/>
        <w:spacing w:beforeLines="50" w:afterLines="50" w:line="560" w:lineRule="exact"/>
        <w:ind w:firstLine="562" w:firstLineChars="200"/>
        <w:jc w:val="left"/>
        <w:textAlignment w:val="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、折扣率报价方式（技术要求）</w:t>
      </w:r>
    </w:p>
    <w:p w14:paraId="5CB7C704">
      <w:pPr>
        <w:keepNext w:val="0"/>
        <w:keepLines w:val="0"/>
        <w:pageBreakBefore w:val="0"/>
        <w:numPr>
          <w:ilvl w:val="255"/>
          <w:numId w:val="0"/>
        </w:numPr>
        <w:kinsoku/>
        <w:wordWrap/>
        <w:overflowPunct/>
        <w:topLinePunct w:val="0"/>
        <w:bidi w:val="0"/>
        <w:adjustRightInd/>
        <w:snapToGrid/>
        <w:spacing w:beforeLines="50" w:afterLines="50" w:line="560" w:lineRule="exact"/>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1、本项目采购总预算为：</w:t>
      </w:r>
      <w:r>
        <w:rPr>
          <w:rFonts w:hint="eastAsia" w:ascii="仿宋_GB2312" w:hAnsi="仿宋_GB2312" w:eastAsia="仿宋_GB2312" w:cs="仿宋_GB2312"/>
          <w:sz w:val="28"/>
          <w:szCs w:val="28"/>
          <w:lang w:val="en-US" w:eastAsia="zh-CN"/>
        </w:rPr>
        <w:t>119391元</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b w:val="0"/>
          <w:bCs w:val="0"/>
          <w:color w:val="000000" w:themeColor="text1"/>
          <w:sz w:val="28"/>
          <w:szCs w:val="28"/>
          <w:highlight w:val="none"/>
          <w:u w:val="none"/>
          <w14:textFill>
            <w14:solidFill>
              <w14:schemeClr w14:val="tx1"/>
            </w14:solidFill>
          </w14:textFill>
        </w:rPr>
        <w:t>人民币</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壹拾壹万玖仟叁佰玖拾壹元整</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highlight w:val="none"/>
        </w:rPr>
        <w:t>本项目总预算不变，供应商以本项目货物单价最高限价的</w:t>
      </w:r>
      <w:r>
        <w:rPr>
          <w:rFonts w:hint="eastAsia" w:ascii="仿宋_GB2312" w:hAnsi="仿宋_GB2312" w:eastAsia="仿宋_GB2312" w:cs="仿宋_GB2312"/>
          <w:color w:val="auto"/>
          <w:sz w:val="28"/>
          <w:szCs w:val="28"/>
          <w:highlight w:val="none"/>
          <w:lang w:val="en-US" w:eastAsia="zh-CN"/>
        </w:rPr>
        <w:t>统一</w:t>
      </w:r>
      <w:r>
        <w:rPr>
          <w:rFonts w:hint="eastAsia" w:ascii="仿宋_GB2312" w:hAnsi="仿宋_GB2312" w:eastAsia="仿宋_GB2312" w:cs="仿宋_GB2312"/>
          <w:color w:val="auto"/>
          <w:sz w:val="28"/>
          <w:szCs w:val="28"/>
          <w:highlight w:val="none"/>
        </w:rPr>
        <w:t>折扣率报价，</w:t>
      </w:r>
      <w:r>
        <w:rPr>
          <w:rFonts w:hint="eastAsia" w:ascii="仿宋_GB2312" w:hAnsi="仿宋_GB2312" w:eastAsia="仿宋_GB2312" w:cs="仿宋_GB2312"/>
          <w:color w:val="auto"/>
          <w:sz w:val="28"/>
          <w:szCs w:val="28"/>
          <w:highlight w:val="none"/>
          <w:lang w:val="en-US" w:eastAsia="zh-CN"/>
        </w:rPr>
        <w:t>供应商报价只报一个唯一折扣率，</w:t>
      </w:r>
      <w:r>
        <w:rPr>
          <w:rFonts w:hint="eastAsia" w:ascii="仿宋_GB2312" w:hAnsi="仿宋_GB2312" w:eastAsia="仿宋_GB2312" w:cs="仿宋_GB2312"/>
          <w:color w:val="auto"/>
          <w:sz w:val="28"/>
          <w:szCs w:val="28"/>
          <w:highlight w:val="none"/>
        </w:rPr>
        <w:t>本项目所有货物采购价格均按此</w:t>
      </w:r>
      <w:r>
        <w:rPr>
          <w:rFonts w:hint="eastAsia" w:ascii="仿宋_GB2312" w:hAnsi="仿宋_GB2312" w:eastAsia="仿宋_GB2312" w:cs="仿宋_GB2312"/>
          <w:color w:val="auto"/>
          <w:sz w:val="28"/>
          <w:szCs w:val="28"/>
          <w:highlight w:val="none"/>
          <w:lang w:val="en-US" w:eastAsia="zh-CN"/>
        </w:rPr>
        <w:t>唯一</w:t>
      </w:r>
      <w:r>
        <w:rPr>
          <w:rFonts w:hint="eastAsia" w:ascii="仿宋_GB2312" w:hAnsi="仿宋_GB2312" w:eastAsia="仿宋_GB2312" w:cs="仿宋_GB2312"/>
          <w:color w:val="auto"/>
          <w:sz w:val="28"/>
          <w:szCs w:val="28"/>
          <w:highlight w:val="none"/>
        </w:rPr>
        <w:t>报价折扣率执行。项目合同履行期内折扣率不准变动。</w:t>
      </w:r>
      <w:r>
        <w:rPr>
          <w:rFonts w:hint="eastAsia" w:ascii="仿宋_GB2312" w:hAnsi="仿宋_GB2312" w:eastAsia="仿宋_GB2312" w:cs="仿宋_GB2312"/>
          <w:color w:val="auto"/>
          <w:sz w:val="28"/>
          <w:szCs w:val="28"/>
          <w:highlight w:val="none"/>
          <w:lang w:val="en-US" w:eastAsia="zh-CN"/>
        </w:rPr>
        <w:t>供应商本次报价，折扣率必须小于或等于100%，否则视为无效报价。（</w:t>
      </w:r>
      <w:r>
        <w:rPr>
          <w:rFonts w:hint="eastAsia" w:ascii="仿宋_GB2312" w:hAnsi="仿宋_GB2312" w:eastAsia="仿宋_GB2312" w:cs="仿宋_GB2312"/>
          <w:color w:val="auto"/>
          <w:sz w:val="28"/>
          <w:szCs w:val="28"/>
          <w:highlight w:val="none"/>
        </w:rPr>
        <w:t>注：折扣率</w:t>
      </w:r>
      <w:r>
        <w:rPr>
          <w:rFonts w:hint="eastAsia" w:ascii="仿宋_GB2312" w:hAnsi="仿宋_GB2312" w:eastAsia="仿宋_GB2312" w:cs="仿宋_GB2312"/>
          <w:b w:val="0"/>
          <w:bCs w:val="0"/>
          <w:color w:val="auto"/>
          <w:kern w:val="0"/>
          <w:sz w:val="28"/>
          <w:szCs w:val="28"/>
          <w:highlight w:val="none"/>
          <w:lang w:val="en-US" w:eastAsia="zh-CN" w:bidi="ar-SA"/>
        </w:rPr>
        <w:t>必须是一个固定整数值，如92%。</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不得含小数点，如92.5%，</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不得为区间值，如以“92.5%～94%”进行报价，否则将视为无效报价</w:t>
      </w:r>
      <w:r>
        <w:rPr>
          <w:rFonts w:hint="eastAsia" w:ascii="仿宋_GB2312" w:hAnsi="仿宋_GB2312" w:eastAsia="仿宋_GB2312" w:cs="仿宋_GB2312"/>
          <w:color w:val="auto"/>
          <w:sz w:val="28"/>
          <w:szCs w:val="28"/>
          <w:highlight w:val="none"/>
          <w:lang w:eastAsia="zh-CN"/>
        </w:rPr>
        <w:t>）。</w:t>
      </w:r>
    </w:p>
    <w:p w14:paraId="6AD93147">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例：采购人当月需要的货物包括，1号货物最高限价为X元/个，2号货物最高限价为X元/个，货物采购数量以当月实际需要数量为准。</w:t>
      </w:r>
    </w:p>
    <w:p w14:paraId="51B8C822">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若成交供应商报价折扣率为，则成交供应商当月结算金额为=1号货物为X元/个（单价最高限价）</w:t>
      </w:r>
      <w:r>
        <w:rPr>
          <w:rFonts w:hint="eastAsia" w:ascii="仿宋_GB2312" w:hAnsi="仿宋_GB2312" w:eastAsia="仿宋_GB2312" w:cs="仿宋_GB2312"/>
          <w:spacing w:val="-14"/>
          <w:sz w:val="28"/>
          <w:szCs w:val="28"/>
        </w:rPr>
        <w:t>×92%（成交供应商报价折扣率）×当月采购人实际需要数量+2号货物</w:t>
      </w:r>
      <w:r>
        <w:rPr>
          <w:rFonts w:hint="eastAsia" w:ascii="仿宋_GB2312" w:hAnsi="仿宋_GB2312" w:eastAsia="仿宋_GB2312" w:cs="仿宋_GB2312"/>
          <w:sz w:val="28"/>
          <w:szCs w:val="28"/>
        </w:rPr>
        <w:t>为X元/个（单价最高限价）</w:t>
      </w:r>
      <w:r>
        <w:rPr>
          <w:rFonts w:hint="eastAsia" w:ascii="仿宋_GB2312" w:hAnsi="仿宋_GB2312" w:eastAsia="仿宋_GB2312" w:cs="仿宋_GB2312"/>
          <w:spacing w:val="-14"/>
          <w:sz w:val="28"/>
          <w:szCs w:val="28"/>
        </w:rPr>
        <w:t>×92%（成交供应商报价折扣率）×当月采购人实际需要数量+</w:t>
      </w:r>
      <w:r>
        <w:rPr>
          <w:rFonts w:hint="eastAsia" w:ascii="仿宋_GB2312" w:hAnsi="仿宋_GB2312" w:eastAsia="仿宋_GB2312" w:cs="仿宋_GB2312"/>
          <w:sz w:val="28"/>
          <w:szCs w:val="28"/>
        </w:rPr>
        <w:t>… N号货物品名单价最高限价</w:t>
      </w:r>
      <w:r>
        <w:rPr>
          <w:rFonts w:hint="eastAsia" w:ascii="仿宋_GB2312" w:hAnsi="仿宋_GB2312" w:eastAsia="仿宋_GB2312" w:cs="仿宋_GB2312"/>
          <w:spacing w:val="-14"/>
          <w:sz w:val="28"/>
          <w:szCs w:val="28"/>
        </w:rPr>
        <w:t>×</w:t>
      </w:r>
      <w:r>
        <w:rPr>
          <w:rFonts w:hint="eastAsia" w:ascii="仿宋_GB2312" w:hAnsi="仿宋_GB2312" w:eastAsia="仿宋_GB2312" w:cs="仿宋_GB2312"/>
          <w:sz w:val="28"/>
          <w:szCs w:val="28"/>
        </w:rPr>
        <w:t>92%</w:t>
      </w:r>
      <w:r>
        <w:rPr>
          <w:rFonts w:hint="eastAsia" w:ascii="仿宋_GB2312" w:hAnsi="仿宋_GB2312" w:eastAsia="仿宋_GB2312" w:cs="仿宋_GB2312"/>
          <w:spacing w:val="-14"/>
          <w:sz w:val="28"/>
          <w:szCs w:val="28"/>
        </w:rPr>
        <w:t>×当月采购人实际需要数量。</w:t>
      </w:r>
    </w:p>
    <w:p w14:paraId="047D0BEA">
      <w:pPr>
        <w:pStyle w:val="40"/>
        <w:keepNext w:val="0"/>
        <w:keepLines w:val="0"/>
        <w:pageBreakBefore w:val="0"/>
        <w:kinsoku/>
        <w:wordWrap/>
        <w:overflowPunct/>
        <w:topLinePunct w:val="0"/>
        <w:bidi w:val="0"/>
        <w:adjustRightInd/>
        <w:snapToGrid/>
        <w:spacing w:line="560" w:lineRule="exact"/>
        <w:ind w:firstLine="691" w:firstLineChars="24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2、供应商所报的</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61D4015D">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kern w:val="0"/>
          <w:sz w:val="28"/>
          <w:szCs w:val="28"/>
        </w:rPr>
        <w:t>3、货物单价最高限价乘以供应商报价折扣率后的</w:t>
      </w:r>
      <w:r>
        <w:rPr>
          <w:rFonts w:hint="eastAsia" w:ascii="仿宋_GB2312" w:hAnsi="仿宋_GB2312" w:eastAsia="仿宋_GB2312" w:cs="仿宋_GB2312"/>
          <w:kern w:val="0"/>
          <w:sz w:val="28"/>
          <w:szCs w:val="28"/>
          <w:u w:val="single"/>
        </w:rPr>
        <w:t>四舍五入保留小数点后</w:t>
      </w:r>
      <w:r>
        <w:rPr>
          <w:rFonts w:hint="eastAsia" w:ascii="仿宋_GB2312" w:hAnsi="仿宋_GB2312" w:eastAsia="仿宋_GB2312" w:cs="仿宋_GB2312"/>
          <w:kern w:val="0"/>
          <w:sz w:val="28"/>
          <w:szCs w:val="28"/>
          <w:u w:val="single"/>
          <w:lang w:val="en-US" w:eastAsia="zh-CN"/>
        </w:rPr>
        <w:t>2</w:t>
      </w:r>
      <w:r>
        <w:rPr>
          <w:rFonts w:hint="eastAsia" w:ascii="仿宋_GB2312" w:hAnsi="仿宋_GB2312" w:eastAsia="仿宋_GB2312" w:cs="仿宋_GB2312"/>
          <w:kern w:val="0"/>
          <w:sz w:val="28"/>
          <w:szCs w:val="28"/>
          <w:u w:val="single"/>
        </w:rPr>
        <w:t>位的价格为各项货物实际供货价。</w:t>
      </w:r>
    </w:p>
    <w:p w14:paraId="37B7D8DF">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u w:val="single"/>
        </w:rPr>
        <w:t>本项目货物购置数量采购人当前无法确定，为预计采购数量</w:t>
      </w:r>
      <w:r>
        <w:rPr>
          <w:rFonts w:hint="eastAsia" w:ascii="仿宋_GB2312" w:hAnsi="仿宋_GB2312" w:eastAsia="仿宋_GB2312" w:cs="仿宋_GB2312"/>
          <w:sz w:val="28"/>
          <w:szCs w:val="28"/>
        </w:rPr>
        <w:t>，供应商成交后，根据采购人的需求进行供货，</w:t>
      </w:r>
      <w:r>
        <w:rPr>
          <w:rFonts w:hint="eastAsia" w:ascii="仿宋_GB2312" w:hAnsi="仿宋_GB2312" w:eastAsia="仿宋_GB2312" w:cs="仿宋_GB2312"/>
          <w:sz w:val="28"/>
          <w:szCs w:val="28"/>
          <w:u w:val="single"/>
        </w:rPr>
        <w:t>最终货物采购数量以合同履行期内采购人实际需求为准</w:t>
      </w:r>
      <w:r>
        <w:rPr>
          <w:rFonts w:hint="eastAsia" w:ascii="仿宋_GB2312" w:hAnsi="仿宋_GB2312" w:eastAsia="仿宋_GB2312" w:cs="仿宋_GB2312"/>
          <w:sz w:val="28"/>
          <w:szCs w:val="28"/>
        </w:rPr>
        <w:t>。</w:t>
      </w:r>
    </w:p>
    <w:p w14:paraId="2C452DE3">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结算时以采购人实际需要的各项货物购置数量分别乘以各项货物成交单价为准。合同履行期内，最终采购人货物采购总金额不超过本项目总预算金额。</w:t>
      </w:r>
    </w:p>
    <w:p w14:paraId="5BE345B6">
      <w:pPr>
        <w:pStyle w:val="35"/>
        <w:keepNext w:val="0"/>
        <w:keepLines w:val="0"/>
        <w:pageBreakBefore w:val="0"/>
        <w:kinsoku/>
        <w:wordWrap/>
        <w:overflowPunct/>
        <w:topLinePunct w:val="0"/>
        <w:bidi w:val="0"/>
        <w:adjustRightInd/>
        <w:snapToGrid/>
        <w:spacing w:line="560" w:lineRule="exact"/>
        <w:ind w:firstLine="562"/>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、处罚承担约定（技术要求）</w:t>
      </w:r>
    </w:p>
    <w:p w14:paraId="2E5D1DBF">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22A4C22A">
      <w:pPr>
        <w:pStyle w:val="35"/>
        <w:keepNext w:val="0"/>
        <w:keepLines w:val="0"/>
        <w:pageBreakBefore w:val="0"/>
        <w:kinsoku/>
        <w:wordWrap/>
        <w:overflowPunct/>
        <w:topLinePunct w:val="0"/>
        <w:bidi w:val="0"/>
        <w:adjustRightInd/>
        <w:snapToGrid/>
        <w:spacing w:line="560" w:lineRule="exact"/>
        <w:ind w:firstLine="562"/>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、其他要求（技术要求）</w:t>
      </w:r>
    </w:p>
    <w:p w14:paraId="07464E77">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交接等工作</w:t>
      </w:r>
      <w:r>
        <w:rPr>
          <w:rFonts w:hint="eastAsia" w:ascii="仿宋_GB2312" w:hAnsi="仿宋_GB2312" w:eastAsia="仿宋_GB2312" w:cs="仿宋_GB2312"/>
          <w:sz w:val="28"/>
          <w:szCs w:val="28"/>
        </w:rPr>
        <w:t>。</w:t>
      </w:r>
    </w:p>
    <w:p w14:paraId="7C681151">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2、交货时间</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接到</w:t>
      </w:r>
      <w:r>
        <w:rPr>
          <w:rFonts w:hint="eastAsia" w:ascii="仿宋_GB2312" w:hAnsi="仿宋_GB2312" w:eastAsia="仿宋_GB2312" w:cs="仿宋_GB2312"/>
          <w:sz w:val="28"/>
          <w:szCs w:val="28"/>
        </w:rPr>
        <w:t>采购人通知后，</w:t>
      </w: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rPr>
        <w:t>小时内将该批次货物送</w:t>
      </w:r>
      <w:r>
        <w:rPr>
          <w:rFonts w:hint="eastAsia" w:ascii="仿宋_GB2312" w:hAnsi="仿宋_GB2312" w:eastAsia="仿宋_GB2312" w:cs="仿宋_GB2312"/>
          <w:sz w:val="28"/>
          <w:szCs w:val="28"/>
          <w:lang w:eastAsia="zh-CN"/>
        </w:rPr>
        <w:t>达</w:t>
      </w:r>
      <w:r>
        <w:rPr>
          <w:rFonts w:hint="eastAsia" w:ascii="仿宋_GB2312" w:hAnsi="仿宋_GB2312" w:eastAsia="仿宋_GB2312" w:cs="仿宋_GB2312"/>
          <w:sz w:val="28"/>
          <w:szCs w:val="28"/>
        </w:rPr>
        <w:t>采购人院内指定地点。</w:t>
      </w:r>
    </w:p>
    <w:p w14:paraId="5F846B33">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14:paraId="54C3D8F1">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3、供应商应将货物配送到采购人指定的院内任意地点接受采购人验货，并将该批货物的产品检验报告资料和合格证等资料，移交至采购人职能科室工作人员，并提供每批货物的质保生效期和截止日期资料。</w:t>
      </w:r>
    </w:p>
    <w:p w14:paraId="7537341D">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供应商应每次随货附销售单据。销售单据所记录的数据应与实际供货的品名、规格型号、数量、单价、金额等一致。货物验收时验收记录单据应当由采购人签字认可。</w:t>
      </w:r>
    </w:p>
    <w:p w14:paraId="10843942">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未提供全流程服务视为供应商违约。供应商不得随意变更接洽人员。</w:t>
      </w:r>
    </w:p>
    <w:p w14:paraId="0D3E2E06">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5、提供合同履约期间货物会计数据统计工作，每月以电子文档形式将当月所有配送货物的时间、品名、规格、数量、单价、金额、所属科室等数据发送至采购人相关工作人员存档。</w:t>
      </w:r>
    </w:p>
    <w:p w14:paraId="261299E3">
      <w:pPr>
        <w:pStyle w:val="40"/>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6、提供因货物不符合</w:t>
      </w:r>
      <w:r>
        <w:rPr>
          <w:rFonts w:hint="eastAsia" w:ascii="仿宋_GB2312" w:hAnsi="仿宋_GB2312" w:eastAsia="仿宋_GB2312" w:cs="仿宋_GB2312"/>
          <w:sz w:val="28"/>
          <w:szCs w:val="28"/>
          <w:lang w:eastAsia="zh-CN"/>
        </w:rPr>
        <w:t>本文件</w:t>
      </w:r>
      <w:r>
        <w:rPr>
          <w:rFonts w:hint="eastAsia" w:ascii="仿宋_GB2312" w:hAnsi="仿宋_GB2312" w:eastAsia="仿宋_GB2312" w:cs="仿宋_GB2312"/>
          <w:sz w:val="28"/>
          <w:szCs w:val="28"/>
        </w:rPr>
        <w:t>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14:paraId="3A800DE7">
      <w:pPr>
        <w:pStyle w:val="26"/>
        <w:keepNext w:val="0"/>
        <w:keepLines w:val="0"/>
        <w:pageBreakBefore w:val="0"/>
        <w:widowControl/>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7、供应商需要根据采购人的日常工作使用情况做好货物的备品工作，确保货源稳定，节假日不能断供。</w:t>
      </w:r>
    </w:p>
    <w:p w14:paraId="239CE10D">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由此而导致的采购人对任何第三方的法律责任等，供应商对此均应承担全部的赔偿责任和法律责任。</w:t>
      </w:r>
    </w:p>
    <w:p w14:paraId="600F652F">
      <w:pPr>
        <w:pStyle w:val="25"/>
        <w:keepNext w:val="0"/>
        <w:keepLines w:val="0"/>
        <w:pageBreakBefore w:val="0"/>
        <w:kinsoku/>
        <w:wordWrap/>
        <w:overflowPunct/>
        <w:topLinePunct w:val="0"/>
        <w:bidi w:val="0"/>
        <w:adjustRightInd/>
        <w:snapToGrid/>
        <w:spacing w:line="560" w:lineRule="exact"/>
        <w:ind w:left="420" w:leftChars="200" w:firstLine="281" w:firstLineChars="1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九</w:t>
      </w:r>
      <w:r>
        <w:rPr>
          <w:rFonts w:hint="eastAsia" w:ascii="仿宋_GB2312" w:hAnsi="仿宋_GB2312" w:eastAsia="仿宋_GB2312" w:cs="仿宋_GB2312"/>
          <w:b/>
          <w:sz w:val="28"/>
          <w:szCs w:val="28"/>
        </w:rPr>
        <w:t>、商务要求</w:t>
      </w:r>
    </w:p>
    <w:p w14:paraId="35323198">
      <w:pPr>
        <w:pStyle w:val="35"/>
        <w:keepNext w:val="0"/>
        <w:keepLines w:val="0"/>
        <w:pageBreakBefore w:val="0"/>
        <w:widowControl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（一）合同的履行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以下任一条件先达到即合同履行完毕</w:t>
      </w:r>
      <w:r>
        <w:rPr>
          <w:rFonts w:hint="eastAsia" w:ascii="仿宋_GB2312" w:hAnsi="仿宋_GB2312" w:eastAsia="仿宋_GB2312" w:cs="仿宋_GB2312"/>
          <w:color w:val="auto"/>
          <w:sz w:val="28"/>
          <w:szCs w:val="28"/>
          <w:lang w:eastAsia="zh-CN"/>
        </w:rPr>
        <w:t>）</w:t>
      </w:r>
    </w:p>
    <w:p w14:paraId="76FE1553">
      <w:pPr>
        <w:pStyle w:val="35"/>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1、双方签订采购合同生效之日起，合同履行期限不超过18个月。</w:t>
      </w:r>
    </w:p>
    <w:p w14:paraId="13547127">
      <w:pPr>
        <w:pStyle w:val="35"/>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2、双方签订采购合同生效之日起，至</w:t>
      </w:r>
      <w:r>
        <w:rPr>
          <w:rFonts w:hint="eastAsia" w:ascii="仿宋_GB2312" w:hAnsi="仿宋_GB2312" w:eastAsia="仿宋_GB2312" w:cs="仿宋_GB2312"/>
          <w:color w:val="auto"/>
          <w:sz w:val="28"/>
          <w:szCs w:val="28"/>
        </w:rPr>
        <w:t>本项目采购总金额达到</w:t>
      </w:r>
      <w:r>
        <w:rPr>
          <w:rFonts w:hint="eastAsia" w:ascii="仿宋_GB2312" w:hAnsi="仿宋_GB2312" w:eastAsia="仿宋_GB2312" w:cs="仿宋_GB2312"/>
          <w:color w:val="auto"/>
          <w:sz w:val="28"/>
          <w:szCs w:val="28"/>
          <w:lang w:val="en-US" w:eastAsia="zh-CN"/>
        </w:rPr>
        <w:t>合同总价截止。</w:t>
      </w:r>
    </w:p>
    <w:p w14:paraId="71596BD6">
      <w:pPr>
        <w:pStyle w:val="35"/>
        <w:keepNext w:val="0"/>
        <w:keepLines w:val="0"/>
        <w:pageBreakBefore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47B52D1E">
      <w:pPr>
        <w:pStyle w:val="35"/>
        <w:keepNext w:val="0"/>
        <w:keepLines w:val="0"/>
        <w:pageBreakBefore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2B3C828B">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（二）项目履行地点：大竹县人民医院院内指定地点。</w:t>
      </w:r>
      <w:r>
        <w:rPr>
          <w:rFonts w:hint="eastAsia" w:ascii="仿宋_GB2312" w:hAnsi="仿宋_GB2312" w:eastAsia="仿宋_GB2312" w:cs="仿宋_GB2312"/>
          <w:b w:val="0"/>
          <w:bCs/>
          <w:sz w:val="28"/>
          <w:szCs w:val="28"/>
          <w:lang w:eastAsia="zh-CN"/>
        </w:rPr>
        <w:t>接到</w:t>
      </w:r>
      <w:r>
        <w:rPr>
          <w:rFonts w:hint="eastAsia" w:ascii="仿宋_GB2312" w:hAnsi="仿宋_GB2312" w:eastAsia="仿宋_GB2312" w:cs="仿宋_GB2312"/>
          <w:b w:val="0"/>
          <w:bCs/>
          <w:sz w:val="28"/>
          <w:szCs w:val="28"/>
        </w:rPr>
        <w:t>采购人通知后，</w:t>
      </w:r>
      <w:r>
        <w:rPr>
          <w:rFonts w:hint="eastAsia" w:ascii="仿宋_GB2312" w:hAnsi="仿宋_GB2312" w:eastAsia="仿宋_GB2312" w:cs="仿宋_GB2312"/>
          <w:b w:val="0"/>
          <w:bCs/>
          <w:sz w:val="28"/>
          <w:szCs w:val="28"/>
          <w:lang w:val="en-US" w:eastAsia="zh-CN"/>
        </w:rPr>
        <w:t>72</w:t>
      </w:r>
      <w:r>
        <w:rPr>
          <w:rFonts w:hint="eastAsia" w:ascii="仿宋_GB2312" w:hAnsi="仿宋_GB2312" w:eastAsia="仿宋_GB2312" w:cs="仿宋_GB2312"/>
          <w:b w:val="0"/>
          <w:bCs/>
          <w:sz w:val="28"/>
          <w:szCs w:val="28"/>
        </w:rPr>
        <w:t>小时内将该批次货物送</w:t>
      </w:r>
      <w:r>
        <w:rPr>
          <w:rFonts w:hint="eastAsia" w:ascii="仿宋_GB2312" w:hAnsi="仿宋_GB2312" w:eastAsia="仿宋_GB2312" w:cs="仿宋_GB2312"/>
          <w:b w:val="0"/>
          <w:bCs/>
          <w:sz w:val="28"/>
          <w:szCs w:val="28"/>
          <w:lang w:eastAsia="zh-CN"/>
        </w:rPr>
        <w:t>达</w:t>
      </w:r>
      <w:r>
        <w:rPr>
          <w:rFonts w:hint="eastAsia" w:ascii="仿宋_GB2312" w:hAnsi="仿宋_GB2312" w:eastAsia="仿宋_GB2312" w:cs="仿宋_GB2312"/>
          <w:b w:val="0"/>
          <w:bCs/>
          <w:sz w:val="28"/>
          <w:szCs w:val="28"/>
        </w:rPr>
        <w:t>采购人院内指定地点。货物交付采购人之前，货物的损毁、灭失风险由供应商承担。</w:t>
      </w:r>
    </w:p>
    <w:p w14:paraId="30947B85">
      <w:pPr>
        <w:pStyle w:val="40"/>
        <w:keepNext w:val="0"/>
        <w:keepLines w:val="0"/>
        <w:pageBreakBefore w:val="0"/>
        <w:kinsoku/>
        <w:wordWrap/>
        <w:overflowPunct/>
        <w:topLinePunct w:val="0"/>
        <w:bidi w:val="0"/>
        <w:adjustRightInd/>
        <w:snapToGrid/>
        <w:spacing w:line="560" w:lineRule="exact"/>
        <w:ind w:left="630" w:leftChars="3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（三）项目付款方式及验收方式</w:t>
      </w:r>
    </w:p>
    <w:p w14:paraId="4FB867B4">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1、合同履行期间，本项目采购总金额在达到项目成交总金额前，采购人和成交供应商每月核算一次成交供应商所供货物采购数量和金额。</w:t>
      </w:r>
    </w:p>
    <w:p w14:paraId="17659582">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每月28号前，成交供应商应完成与采购人当月货款的核算工作。成交供应商提供合同履约期间货物会计数据统计的电子文档给采购人存档。</w:t>
      </w:r>
    </w:p>
    <w:p w14:paraId="3A0483EC">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14:paraId="0B2CC1CC">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3、双方核对一致后，成交供应商才可开具发票。每月采购人在收到成交供应商前款所述有效票据后，90日内转账支付成交供应商该批次货款。</w:t>
      </w:r>
    </w:p>
    <w:p w14:paraId="1788540D">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4、验收方式：按照国家和行业相关质量标准和规范要求，参照财政部关于进一步加强政府采购需求和履约验收管理的指导意见（财库〔2016〕205 号）以及采购文件要求组织开展验收工作。</w:t>
      </w:r>
    </w:p>
    <w:p w14:paraId="0AFABA68">
      <w:pPr>
        <w:pStyle w:val="35"/>
        <w:keepNext w:val="0"/>
        <w:keepLines w:val="0"/>
        <w:pageBreakBefore w:val="0"/>
        <w:kinsoku/>
        <w:wordWrap/>
        <w:overflowPunct/>
        <w:topLinePunct w:val="0"/>
        <w:bidi w:val="0"/>
        <w:adjustRightInd/>
        <w:snapToGrid/>
        <w:spacing w:line="560" w:lineRule="exact"/>
        <w:ind w:firstLine="562"/>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（四）货物包装、运输要求</w:t>
      </w:r>
    </w:p>
    <w:p w14:paraId="73914597">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14:paraId="50FC8016">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13318C23">
      <w:pPr>
        <w:pStyle w:val="35"/>
        <w:keepNext w:val="0"/>
        <w:keepLines w:val="0"/>
        <w:pageBreakBefore w:val="0"/>
        <w:kinsoku/>
        <w:wordWrap/>
        <w:overflowPunct/>
        <w:topLinePunct w:val="0"/>
        <w:bidi w:val="0"/>
        <w:adjustRightInd/>
        <w:snapToGrid/>
        <w:spacing w:line="560" w:lineRule="exact"/>
        <w:ind w:firstLine="562"/>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（五）售后服务要求</w:t>
      </w:r>
    </w:p>
    <w:p w14:paraId="70213594">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1、货物在质保期内出现质量问题，供应商应在采购人通知后</w:t>
      </w: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rPr>
        <w:t>小时内将货物更换，货物更换必须是等于或优于</w:t>
      </w:r>
      <w:r>
        <w:rPr>
          <w:rFonts w:hint="eastAsia" w:ascii="仿宋_GB2312" w:hAnsi="仿宋_GB2312" w:eastAsia="仿宋_GB2312" w:cs="仿宋_GB2312"/>
          <w:sz w:val="28"/>
          <w:szCs w:val="28"/>
          <w:lang w:eastAsia="zh-CN"/>
        </w:rPr>
        <w:t>本文件</w:t>
      </w:r>
      <w:r>
        <w:rPr>
          <w:rFonts w:hint="eastAsia" w:ascii="仿宋_GB2312" w:hAnsi="仿宋_GB2312" w:eastAsia="仿宋_GB2312" w:cs="仿宋_GB2312"/>
          <w:sz w:val="28"/>
          <w:szCs w:val="28"/>
        </w:rPr>
        <w:t>要求的。</w:t>
      </w: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lang w:eastAsia="zh-CN"/>
        </w:rPr>
        <w:t>小时</w:t>
      </w:r>
      <w:r>
        <w:rPr>
          <w:rFonts w:hint="eastAsia" w:ascii="仿宋_GB2312" w:hAnsi="仿宋_GB2312" w:eastAsia="仿宋_GB2312" w:cs="仿宋_GB2312"/>
          <w:sz w:val="28"/>
          <w:szCs w:val="28"/>
        </w:rPr>
        <w:t>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773F39E3">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565061F0">
      <w:pPr>
        <w:pStyle w:val="35"/>
        <w:keepNext w:val="0"/>
        <w:keepLines w:val="0"/>
        <w:pageBreakBefore w:val="0"/>
        <w:kinsoku/>
        <w:wordWrap/>
        <w:overflowPunct/>
        <w:topLinePunct w:val="0"/>
        <w:bidi w:val="0"/>
        <w:adjustRightInd/>
        <w:snapToGrid/>
        <w:spacing w:line="560" w:lineRule="exact"/>
        <w:ind w:firstLine="422" w:firstLineChars="15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（六）违约责任</w:t>
      </w:r>
    </w:p>
    <w:p w14:paraId="5401AA39">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1、供应商必须严格按照国家相关法律法规和</w:t>
      </w:r>
      <w:r>
        <w:rPr>
          <w:rFonts w:hint="eastAsia" w:ascii="仿宋_GB2312" w:hAnsi="仿宋_GB2312" w:eastAsia="仿宋_GB2312" w:cs="仿宋_GB2312"/>
          <w:bCs/>
          <w:sz w:val="28"/>
          <w:szCs w:val="28"/>
          <w:lang w:eastAsia="zh-CN"/>
        </w:rPr>
        <w:t>本文件</w:t>
      </w:r>
      <w:r>
        <w:rPr>
          <w:rFonts w:hint="eastAsia" w:ascii="仿宋_GB2312" w:hAnsi="仿宋_GB2312" w:eastAsia="仿宋_GB2312" w:cs="仿宋_GB2312"/>
          <w:bCs/>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358A5FC9">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2DD30320">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有下列情形之一行为视为供应商违约，采购人有权按照以下条款要求成交供应商承担违约金及违约责任：</w:t>
      </w:r>
    </w:p>
    <w:p w14:paraId="659BCEA4">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20F7B2DB">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052E3CA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（3）成交供应商延迟履约，即成交供应商应向采购人提供的货物及服务未按合同约定时间达成的，成交供应商每有一次违约行为，采购人将扣除成交供应商当月结算货款</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00元，供应商经采购人催告后应继续按合同约定履行合同。若供应商一年内</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次延迟履约，则成交供应商应向采购人缴纳合同总价款5%的违约金，同时采购人有权解除合同。</w:t>
      </w:r>
    </w:p>
    <w:p w14:paraId="32C9A559">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（4）成交供应商所供的货物或服务瑕疵违约，与</w:t>
      </w:r>
      <w:r>
        <w:rPr>
          <w:rFonts w:hint="eastAsia" w:ascii="仿宋_GB2312" w:hAnsi="仿宋_GB2312" w:eastAsia="仿宋_GB2312" w:cs="仿宋_GB2312"/>
          <w:sz w:val="28"/>
          <w:szCs w:val="28"/>
          <w:lang w:eastAsia="zh-CN"/>
        </w:rPr>
        <w:t>本文件</w:t>
      </w:r>
      <w:r>
        <w:rPr>
          <w:rFonts w:hint="eastAsia" w:ascii="仿宋_GB2312" w:hAnsi="仿宋_GB2312" w:eastAsia="仿宋_GB2312" w:cs="仿宋_GB2312"/>
          <w:sz w:val="28"/>
          <w:szCs w:val="28"/>
        </w:rPr>
        <w:t>要求或采购人采购需求不符的，成交供应商应承担修理、重作、更换、退货、减少价款或者报酬等违约责任。同时成交供应商每有一次违约行为，采购人将扣除成交供应商当月结算货款</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00元，供应商出现</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次本款所列违约行为，成交供应商应向采购人支付合同总价款5%的违约金，同时采购人有权解除合同。经采购人同意后，供应商更正瑕疵违约行为后，可以继续按合同约定履行合同。</w:t>
      </w:r>
    </w:p>
    <w:p w14:paraId="142F4F78">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3、合同履行过程中由供应商及员工原因造成的一切安全事故、人身伤亡、经济损失均由供应商自行负责承担，其责任与采购人无关。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385D6E76">
      <w:pPr>
        <w:pStyle w:val="35"/>
        <w:spacing w:line="360" w:lineRule="auto"/>
        <w:ind w:left="0" w:leftChars="0" w:firstLine="0" w:firstLineChars="0"/>
        <w:jc w:val="both"/>
        <w:rPr>
          <w:rFonts w:hint="eastAsia" w:ascii="仿宋" w:hAnsi="仿宋" w:eastAsia="仿宋" w:cs="仿宋"/>
          <w:b/>
          <w:sz w:val="28"/>
          <w:szCs w:val="28"/>
          <w:highlight w:val="none"/>
        </w:rPr>
      </w:pPr>
    </w:p>
    <w:p w14:paraId="67FC9677">
      <w:pPr>
        <w:pStyle w:val="35"/>
        <w:spacing w:line="360" w:lineRule="auto"/>
        <w:ind w:left="0" w:leftChars="0" w:firstLine="0" w:firstLineChars="0"/>
        <w:jc w:val="both"/>
        <w:rPr>
          <w:rFonts w:hint="eastAsia" w:ascii="仿宋" w:hAnsi="仿宋" w:eastAsia="仿宋" w:cs="仿宋"/>
          <w:b/>
          <w:sz w:val="28"/>
          <w:szCs w:val="28"/>
          <w:highlight w:val="none"/>
        </w:rPr>
      </w:pPr>
    </w:p>
    <w:p w14:paraId="009BAA07">
      <w:pPr>
        <w:pStyle w:val="35"/>
        <w:spacing w:line="360" w:lineRule="auto"/>
        <w:ind w:left="0" w:leftChars="0" w:firstLine="0" w:firstLineChars="0"/>
        <w:jc w:val="both"/>
        <w:rPr>
          <w:rFonts w:hint="eastAsia" w:ascii="仿宋" w:hAnsi="仿宋" w:eastAsia="仿宋" w:cs="仿宋"/>
          <w:b/>
          <w:sz w:val="28"/>
          <w:szCs w:val="28"/>
          <w:highlight w:val="none"/>
        </w:rPr>
      </w:pPr>
    </w:p>
    <w:p w14:paraId="5459A114">
      <w:pPr>
        <w:pStyle w:val="35"/>
        <w:spacing w:line="360" w:lineRule="auto"/>
        <w:ind w:left="0" w:leftChars="0" w:firstLine="0" w:firstLineChars="0"/>
        <w:jc w:val="both"/>
        <w:rPr>
          <w:rFonts w:hint="eastAsia" w:ascii="仿宋" w:hAnsi="仿宋" w:eastAsia="仿宋" w:cs="仿宋"/>
          <w:b/>
          <w:sz w:val="28"/>
          <w:szCs w:val="28"/>
          <w:highlight w:val="none"/>
        </w:rPr>
      </w:pPr>
    </w:p>
    <w:p w14:paraId="53B44A70">
      <w:pPr>
        <w:pStyle w:val="35"/>
        <w:spacing w:line="360" w:lineRule="auto"/>
        <w:ind w:left="0" w:leftChars="0" w:firstLine="0" w:firstLineChars="0"/>
        <w:jc w:val="both"/>
        <w:rPr>
          <w:rFonts w:hint="eastAsia" w:ascii="仿宋" w:hAnsi="仿宋" w:eastAsia="仿宋" w:cs="仿宋"/>
          <w:b/>
          <w:sz w:val="28"/>
          <w:szCs w:val="28"/>
          <w:highlight w:val="none"/>
        </w:rPr>
      </w:pPr>
    </w:p>
    <w:p w14:paraId="3EA69D84">
      <w:pPr>
        <w:pStyle w:val="35"/>
        <w:spacing w:line="360" w:lineRule="auto"/>
        <w:ind w:left="0" w:leftChars="0" w:firstLine="0" w:firstLineChars="0"/>
        <w:jc w:val="both"/>
        <w:rPr>
          <w:rFonts w:hint="eastAsia" w:ascii="仿宋" w:hAnsi="仿宋" w:eastAsia="仿宋" w:cs="仿宋"/>
          <w:b/>
          <w:sz w:val="28"/>
          <w:szCs w:val="28"/>
          <w:highlight w:val="none"/>
        </w:rPr>
      </w:pPr>
    </w:p>
    <w:p w14:paraId="4CB9CBC5">
      <w:pPr>
        <w:pStyle w:val="35"/>
        <w:spacing w:line="360" w:lineRule="auto"/>
        <w:ind w:left="0" w:leftChars="0" w:firstLine="0" w:firstLineChars="0"/>
        <w:jc w:val="both"/>
        <w:rPr>
          <w:rFonts w:hint="eastAsia" w:ascii="仿宋" w:hAnsi="仿宋" w:eastAsia="仿宋" w:cs="仿宋"/>
          <w:b/>
          <w:sz w:val="28"/>
          <w:szCs w:val="28"/>
          <w:highlight w:val="none"/>
        </w:rPr>
      </w:pPr>
    </w:p>
    <w:p w14:paraId="5554F19C">
      <w:pPr>
        <w:pStyle w:val="35"/>
        <w:spacing w:line="360" w:lineRule="auto"/>
        <w:ind w:left="0" w:leftChars="0" w:firstLine="0" w:firstLineChars="0"/>
        <w:jc w:val="center"/>
        <w:rPr>
          <w:rFonts w:hint="eastAsia" w:ascii="仿宋" w:hAnsi="仿宋" w:eastAsia="仿宋" w:cs="仿宋"/>
          <w:b/>
          <w:sz w:val="28"/>
          <w:szCs w:val="28"/>
          <w:highlight w:val="none"/>
        </w:rPr>
      </w:pPr>
    </w:p>
    <w:p w14:paraId="348AFBA7">
      <w:pPr>
        <w:pStyle w:val="35"/>
        <w:spacing w:line="360" w:lineRule="auto"/>
        <w:ind w:left="0" w:leftChars="0" w:firstLine="0" w:firstLineChars="0"/>
        <w:jc w:val="center"/>
        <w:rPr>
          <w:rFonts w:hint="eastAsia" w:ascii="仿宋" w:hAnsi="仿宋" w:eastAsia="仿宋" w:cs="仿宋"/>
          <w:b/>
          <w:sz w:val="28"/>
          <w:szCs w:val="28"/>
          <w:highlight w:val="none"/>
        </w:rPr>
      </w:pPr>
    </w:p>
    <w:p w14:paraId="2335C3DE">
      <w:pPr>
        <w:pStyle w:val="35"/>
        <w:spacing w:line="360" w:lineRule="auto"/>
        <w:ind w:left="0" w:leftChars="0" w:firstLine="0" w:firstLineChars="0"/>
        <w:jc w:val="center"/>
        <w:rPr>
          <w:rFonts w:hint="eastAsia" w:ascii="仿宋" w:hAnsi="仿宋" w:eastAsia="仿宋" w:cs="仿宋"/>
          <w:b/>
          <w:sz w:val="28"/>
          <w:szCs w:val="28"/>
          <w:highlight w:val="none"/>
        </w:rPr>
      </w:pPr>
    </w:p>
    <w:p w14:paraId="6385E432">
      <w:pPr>
        <w:pStyle w:val="35"/>
        <w:spacing w:line="360" w:lineRule="auto"/>
        <w:ind w:left="0" w:leftChars="0" w:firstLine="0" w:firstLineChars="0"/>
        <w:jc w:val="center"/>
        <w:rPr>
          <w:rFonts w:hint="eastAsia" w:ascii="仿宋" w:hAnsi="仿宋" w:eastAsia="仿宋" w:cs="仿宋"/>
          <w:b/>
          <w:sz w:val="28"/>
          <w:szCs w:val="28"/>
          <w:highlight w:val="none"/>
        </w:rPr>
      </w:pPr>
    </w:p>
    <w:p w14:paraId="3D0760E1">
      <w:pPr>
        <w:pStyle w:val="35"/>
        <w:spacing w:line="360" w:lineRule="auto"/>
        <w:ind w:left="0" w:leftChars="0" w:firstLine="0" w:firstLineChars="0"/>
        <w:jc w:val="center"/>
        <w:rPr>
          <w:rFonts w:hint="eastAsia" w:ascii="仿宋" w:hAnsi="仿宋" w:eastAsia="仿宋" w:cs="仿宋"/>
          <w:b/>
          <w:sz w:val="28"/>
          <w:szCs w:val="28"/>
          <w:highlight w:val="none"/>
        </w:rPr>
      </w:pPr>
    </w:p>
    <w:p w14:paraId="2D602440">
      <w:pPr>
        <w:pStyle w:val="35"/>
        <w:spacing w:line="360" w:lineRule="auto"/>
        <w:ind w:left="0" w:leftChars="0" w:firstLine="0" w:firstLineChars="0"/>
        <w:jc w:val="center"/>
        <w:rPr>
          <w:rFonts w:hint="eastAsia" w:ascii="仿宋" w:hAnsi="仿宋" w:eastAsia="仿宋" w:cs="仿宋"/>
          <w:b/>
          <w:sz w:val="28"/>
          <w:szCs w:val="28"/>
          <w:highlight w:val="none"/>
        </w:rPr>
      </w:pPr>
    </w:p>
    <w:p w14:paraId="5D3DEFDC">
      <w:pPr>
        <w:pStyle w:val="35"/>
        <w:spacing w:line="360" w:lineRule="auto"/>
        <w:ind w:left="0" w:leftChars="0" w:firstLine="0" w:firstLineChars="0"/>
        <w:jc w:val="center"/>
        <w:rPr>
          <w:rFonts w:hint="eastAsia" w:ascii="仿宋" w:hAnsi="仿宋" w:eastAsia="仿宋" w:cs="仿宋"/>
          <w:b/>
          <w:sz w:val="28"/>
          <w:szCs w:val="28"/>
          <w:highlight w:val="none"/>
        </w:rPr>
      </w:pPr>
    </w:p>
    <w:p w14:paraId="6D8CEA35">
      <w:pPr>
        <w:pStyle w:val="35"/>
        <w:spacing w:line="360" w:lineRule="auto"/>
        <w:ind w:left="0" w:leftChars="0" w:firstLine="0" w:firstLineChars="0"/>
        <w:jc w:val="center"/>
        <w:rPr>
          <w:rFonts w:hint="eastAsia" w:ascii="仿宋" w:hAnsi="仿宋" w:eastAsia="仿宋" w:cs="仿宋"/>
          <w:b/>
          <w:sz w:val="28"/>
          <w:szCs w:val="28"/>
          <w:highlight w:val="none"/>
        </w:rPr>
      </w:pPr>
    </w:p>
    <w:p w14:paraId="6ABCF94D">
      <w:pPr>
        <w:pStyle w:val="35"/>
        <w:spacing w:line="360" w:lineRule="auto"/>
        <w:ind w:left="0" w:leftChars="0" w:firstLine="0" w:firstLineChars="0"/>
        <w:jc w:val="center"/>
        <w:rPr>
          <w:rFonts w:hint="eastAsia" w:ascii="仿宋" w:hAnsi="仿宋" w:eastAsia="仿宋" w:cs="仿宋"/>
          <w:b/>
          <w:sz w:val="28"/>
          <w:szCs w:val="28"/>
          <w:highlight w:val="none"/>
        </w:rPr>
      </w:pPr>
    </w:p>
    <w:p w14:paraId="04473F92">
      <w:pPr>
        <w:pStyle w:val="35"/>
        <w:spacing w:line="360" w:lineRule="auto"/>
        <w:ind w:left="0" w:leftChars="0" w:firstLine="0" w:firstLineChars="0"/>
        <w:jc w:val="center"/>
        <w:rPr>
          <w:rFonts w:hint="eastAsia" w:ascii="仿宋" w:hAnsi="仿宋" w:eastAsia="仿宋" w:cs="仿宋"/>
          <w:b/>
          <w:sz w:val="28"/>
          <w:szCs w:val="28"/>
          <w:highlight w:val="none"/>
        </w:rPr>
      </w:pPr>
    </w:p>
    <w:p w14:paraId="1BF7C572">
      <w:pPr>
        <w:pStyle w:val="35"/>
        <w:spacing w:line="360" w:lineRule="auto"/>
        <w:ind w:left="0" w:leftChars="0" w:firstLine="0" w:firstLineChars="0"/>
        <w:jc w:val="center"/>
        <w:rPr>
          <w:rFonts w:hint="eastAsia" w:ascii="仿宋" w:hAnsi="仿宋" w:eastAsia="仿宋" w:cs="仿宋"/>
          <w:b/>
          <w:sz w:val="28"/>
          <w:szCs w:val="28"/>
          <w:highlight w:val="none"/>
        </w:rPr>
      </w:pPr>
    </w:p>
    <w:p w14:paraId="6F12C94A">
      <w:pPr>
        <w:pStyle w:val="35"/>
        <w:spacing w:line="360" w:lineRule="auto"/>
        <w:ind w:left="0" w:leftChars="0" w:firstLine="0" w:firstLineChars="0"/>
        <w:jc w:val="center"/>
        <w:rPr>
          <w:rFonts w:hint="eastAsia" w:ascii="仿宋" w:hAnsi="仿宋" w:eastAsia="仿宋" w:cs="仿宋"/>
          <w:b/>
          <w:sz w:val="28"/>
          <w:szCs w:val="28"/>
          <w:highlight w:val="none"/>
        </w:rPr>
      </w:pPr>
    </w:p>
    <w:p w14:paraId="4C528E8B">
      <w:pPr>
        <w:pStyle w:val="35"/>
        <w:spacing w:line="360" w:lineRule="auto"/>
        <w:ind w:left="0" w:leftChars="0" w:firstLine="0" w:firstLineChars="0"/>
        <w:jc w:val="center"/>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0F79F147">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color w:val="000000" w:themeColor="text1"/>
          <w:sz w:val="28"/>
          <w:szCs w:val="28"/>
          <w14:textFill>
            <w14:solidFill>
              <w14:schemeClr w14:val="tx1"/>
            </w14:solidFill>
          </w14:textFill>
        </w:rPr>
        <w:t>具有良好的商业信誉和健全的财务会计制度</w:t>
      </w:r>
      <w:r>
        <w:rPr>
          <w:rFonts w:hint="eastAsia" w:ascii="仿宋" w:hAnsi="仿宋" w:eastAsia="仿宋" w:cs="仿宋"/>
          <w:sz w:val="28"/>
          <w:szCs w:val="28"/>
          <w:highlight w:val="none"/>
        </w:rPr>
        <w:t>；</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364EAA">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091"/>
        <w:gridCol w:w="1845"/>
        <w:gridCol w:w="2022"/>
        <w:gridCol w:w="1025"/>
      </w:tblGrid>
      <w:tr w14:paraId="1F2C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555697">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C2B22A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品名</w:t>
            </w:r>
          </w:p>
        </w:tc>
        <w:tc>
          <w:tcPr>
            <w:tcW w:w="2091" w:type="dxa"/>
            <w:tcBorders>
              <w:top w:val="single" w:color="auto" w:sz="4" w:space="0"/>
              <w:left w:val="single" w:color="auto" w:sz="4" w:space="0"/>
              <w:bottom w:val="single" w:color="auto" w:sz="4" w:space="0"/>
              <w:right w:val="single" w:color="auto" w:sz="4" w:space="0"/>
            </w:tcBorders>
            <w:noWrap/>
            <w:vAlign w:val="center"/>
          </w:tcPr>
          <w:p w14:paraId="041FB854">
            <w:pPr>
              <w:widowControl/>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21" w:name="_Toc50711557"/>
            <w:r>
              <w:rPr>
                <w:rFonts w:hint="eastAsia" w:ascii="仿宋" w:hAnsi="仿宋" w:eastAsia="仿宋" w:cs="仿宋"/>
                <w:b/>
                <w:color w:val="000000" w:themeColor="text1"/>
                <w:sz w:val="24"/>
                <w:szCs w:val="24"/>
                <w14:textFill>
                  <w14:solidFill>
                    <w14:schemeClr w14:val="tx1"/>
                  </w14:solidFill>
                </w14:textFill>
              </w:rPr>
              <w:t>产品制造商家、品牌及</w:t>
            </w:r>
            <w:bookmarkEnd w:id="21"/>
            <w:bookmarkStart w:id="22" w:name="_Toc50711558"/>
            <w:r>
              <w:rPr>
                <w:rFonts w:hint="eastAsia" w:ascii="仿宋" w:hAnsi="仿宋" w:eastAsia="仿宋" w:cs="仿宋"/>
                <w:b/>
                <w:color w:val="000000" w:themeColor="text1"/>
                <w:sz w:val="24"/>
                <w:szCs w:val="24"/>
                <w14:textFill>
                  <w14:solidFill>
                    <w14:schemeClr w14:val="tx1"/>
                  </w14:solidFill>
                </w14:textFill>
              </w:rPr>
              <w:t>规格型号（如涉及）</w:t>
            </w:r>
            <w:bookmarkEnd w:id="22"/>
          </w:p>
        </w:tc>
        <w:tc>
          <w:tcPr>
            <w:tcW w:w="1845" w:type="dxa"/>
            <w:tcBorders>
              <w:top w:val="single" w:color="auto" w:sz="4" w:space="0"/>
              <w:left w:val="single" w:color="auto" w:sz="4" w:space="0"/>
              <w:bottom w:val="single" w:color="auto" w:sz="4" w:space="0"/>
              <w:right w:val="single" w:color="auto" w:sz="4" w:space="0"/>
            </w:tcBorders>
            <w:noWrap/>
            <w:vAlign w:val="center"/>
          </w:tcPr>
          <w:p w14:paraId="2CDE062C">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报价折扣率（%）</w:t>
            </w:r>
          </w:p>
        </w:tc>
        <w:tc>
          <w:tcPr>
            <w:tcW w:w="2022" w:type="dxa"/>
            <w:tcBorders>
              <w:top w:val="single" w:color="auto" w:sz="4" w:space="0"/>
              <w:left w:val="single" w:color="auto" w:sz="4" w:space="0"/>
              <w:bottom w:val="single" w:color="auto" w:sz="4" w:space="0"/>
              <w:right w:val="single" w:color="auto" w:sz="4" w:space="0"/>
            </w:tcBorders>
            <w:noWrap/>
            <w:vAlign w:val="center"/>
          </w:tcPr>
          <w:p w14:paraId="27C865D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成交单价（元）</w:t>
            </w:r>
          </w:p>
          <w:p w14:paraId="2A82A04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（四舍五入保留小数点后</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位）</w:t>
            </w:r>
          </w:p>
        </w:tc>
        <w:tc>
          <w:tcPr>
            <w:tcW w:w="1025" w:type="dxa"/>
            <w:tcBorders>
              <w:top w:val="single" w:color="auto" w:sz="4" w:space="0"/>
              <w:left w:val="single" w:color="auto" w:sz="4" w:space="0"/>
              <w:bottom w:val="single" w:color="auto" w:sz="4" w:space="0"/>
              <w:right w:val="single" w:color="auto" w:sz="4" w:space="0"/>
            </w:tcBorders>
            <w:noWrap/>
            <w:vAlign w:val="center"/>
          </w:tcPr>
          <w:p w14:paraId="0D53BED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计价</w:t>
            </w:r>
          </w:p>
          <w:p w14:paraId="313B0B88">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单位</w:t>
            </w:r>
          </w:p>
        </w:tc>
      </w:tr>
      <w:tr w14:paraId="4EC1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336E255">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449CB9E6">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00F0BC9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7F11D30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23A10A8E">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077D81AF">
            <w:pPr>
              <w:widowControl/>
              <w:jc w:val="center"/>
              <w:textAlignment w:val="center"/>
              <w:rPr>
                <w:rFonts w:ascii="仿宋" w:hAnsi="仿宋" w:eastAsia="仿宋" w:cs="仿宋"/>
                <w:sz w:val="24"/>
                <w:szCs w:val="24"/>
              </w:rPr>
            </w:pPr>
          </w:p>
        </w:tc>
      </w:tr>
      <w:tr w14:paraId="1D2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E7E41F4">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C821182">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640FB83B">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6698B2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59C3DC01">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77863EC4">
            <w:pPr>
              <w:widowControl/>
              <w:jc w:val="center"/>
              <w:textAlignment w:val="center"/>
              <w:rPr>
                <w:rFonts w:ascii="仿宋" w:hAnsi="仿宋" w:eastAsia="仿宋" w:cs="仿宋"/>
                <w:sz w:val="24"/>
                <w:szCs w:val="24"/>
              </w:rPr>
            </w:pPr>
          </w:p>
        </w:tc>
      </w:tr>
      <w:tr w14:paraId="022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0F9527">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54C060B5">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1459714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456EDD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7E4C91FF">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DECFB82">
            <w:pPr>
              <w:widowControl/>
              <w:jc w:val="center"/>
              <w:textAlignment w:val="center"/>
              <w:rPr>
                <w:rFonts w:ascii="仿宋" w:hAnsi="仿宋" w:eastAsia="仿宋" w:cs="仿宋"/>
                <w:sz w:val="24"/>
                <w:szCs w:val="24"/>
              </w:rPr>
            </w:pPr>
          </w:p>
        </w:tc>
      </w:tr>
      <w:tr w14:paraId="3D3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1C371D">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096E0BDB">
            <w:pPr>
              <w:snapToGrid w:val="0"/>
              <w:spacing w:line="360" w:lineRule="auto"/>
              <w:jc w:val="left"/>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44242784">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92104C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0DB527CB">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4ED7C40">
            <w:pPr>
              <w:snapToGrid w:val="0"/>
              <w:spacing w:line="360" w:lineRule="auto"/>
              <w:jc w:val="center"/>
              <w:rPr>
                <w:rFonts w:ascii="仿宋" w:hAnsi="仿宋" w:eastAsia="仿宋" w:cs="仿宋"/>
                <w:sz w:val="24"/>
                <w:szCs w:val="24"/>
              </w:rPr>
            </w:pPr>
          </w:p>
        </w:tc>
      </w:tr>
    </w:tbl>
    <w:p w14:paraId="24E7AA6B">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44918BC">
      <w:pPr>
        <w:pStyle w:val="2"/>
        <w:rPr>
          <w:rFonts w:hint="eastAsia" w:ascii="仿宋" w:hAnsi="仿宋" w:eastAsia="仿宋" w:cs="仿宋"/>
          <w:bCs/>
          <w:sz w:val="24"/>
          <w:szCs w:val="24"/>
          <w:highlight w:val="none"/>
        </w:rPr>
      </w:pPr>
    </w:p>
    <w:p w14:paraId="542BDF27">
      <w:pPr>
        <w:rPr>
          <w:rFonts w:hint="eastAsia" w:ascii="仿宋" w:hAnsi="仿宋" w:eastAsia="仿宋" w:cs="仿宋"/>
          <w:bCs/>
          <w:sz w:val="24"/>
          <w:szCs w:val="24"/>
          <w:highlight w:val="none"/>
        </w:rPr>
      </w:pPr>
    </w:p>
    <w:p w14:paraId="41150C70">
      <w:pPr>
        <w:pStyle w:val="2"/>
        <w:rPr>
          <w:rFonts w:hint="eastAsia" w:ascii="仿宋" w:hAnsi="仿宋" w:eastAsia="仿宋" w:cs="仿宋"/>
          <w:bCs/>
          <w:sz w:val="24"/>
          <w:szCs w:val="24"/>
          <w:highlight w:val="none"/>
        </w:rPr>
      </w:pPr>
    </w:p>
    <w:p w14:paraId="2D0D3639">
      <w:pPr>
        <w:rPr>
          <w:rFonts w:hint="eastAsia" w:ascii="仿宋" w:hAnsi="仿宋" w:eastAsia="仿宋" w:cs="仿宋"/>
          <w:bCs/>
          <w:sz w:val="24"/>
          <w:szCs w:val="24"/>
          <w:highlight w:val="none"/>
        </w:rPr>
      </w:pPr>
    </w:p>
    <w:p w14:paraId="090A1E44">
      <w:pPr>
        <w:pStyle w:val="2"/>
        <w:rPr>
          <w:rFonts w:hint="eastAsia" w:ascii="仿宋" w:hAnsi="仿宋" w:eastAsia="仿宋" w:cs="仿宋"/>
          <w:bCs/>
          <w:sz w:val="24"/>
          <w:szCs w:val="24"/>
          <w:highlight w:val="none"/>
        </w:rPr>
      </w:pPr>
    </w:p>
    <w:p w14:paraId="176C54C8">
      <w:pPr>
        <w:rPr>
          <w:rFonts w:hint="eastAsia" w:ascii="仿宋" w:hAnsi="仿宋" w:eastAsia="仿宋" w:cs="仿宋"/>
          <w:bCs/>
          <w:sz w:val="24"/>
          <w:szCs w:val="24"/>
          <w:highlight w:val="none"/>
        </w:rPr>
      </w:pPr>
    </w:p>
    <w:p w14:paraId="2900B28A">
      <w:pPr>
        <w:pStyle w:val="2"/>
        <w:rPr>
          <w:rFonts w:hint="eastAsia" w:ascii="仿宋" w:hAnsi="仿宋" w:eastAsia="仿宋" w:cs="仿宋"/>
          <w:bCs/>
          <w:sz w:val="24"/>
          <w:szCs w:val="24"/>
          <w:highlight w:val="none"/>
        </w:rPr>
      </w:pPr>
    </w:p>
    <w:p w14:paraId="67A3D0AC">
      <w:pPr>
        <w:rPr>
          <w:rFonts w:hint="eastAsia" w:ascii="仿宋" w:hAnsi="仿宋" w:eastAsia="仿宋" w:cs="仿宋"/>
          <w:bCs/>
          <w:sz w:val="24"/>
          <w:szCs w:val="24"/>
          <w:highlight w:val="none"/>
        </w:rPr>
      </w:pPr>
    </w:p>
    <w:p w14:paraId="00DB3806">
      <w:pPr>
        <w:pStyle w:val="2"/>
        <w:rPr>
          <w:rFonts w:hint="eastAsia" w:ascii="仿宋" w:hAnsi="仿宋" w:eastAsia="仿宋" w:cs="仿宋"/>
          <w:bCs/>
          <w:sz w:val="24"/>
          <w:szCs w:val="24"/>
          <w:highlight w:val="none"/>
        </w:rPr>
      </w:pPr>
    </w:p>
    <w:p w14:paraId="6CD7BF59">
      <w:pPr>
        <w:rPr>
          <w:rFonts w:hint="eastAsia" w:ascii="仿宋" w:hAnsi="仿宋" w:eastAsia="仿宋" w:cs="仿宋"/>
          <w:bCs/>
          <w:sz w:val="24"/>
          <w:szCs w:val="24"/>
          <w:highlight w:val="none"/>
        </w:rPr>
      </w:pPr>
    </w:p>
    <w:p w14:paraId="22AA183F">
      <w:pPr>
        <w:pStyle w:val="2"/>
        <w:rPr>
          <w:rFonts w:hint="eastAsia" w:ascii="仿宋" w:hAnsi="仿宋" w:eastAsia="仿宋" w:cs="仿宋"/>
          <w:bCs/>
          <w:sz w:val="24"/>
          <w:szCs w:val="24"/>
          <w:highlight w:val="none"/>
        </w:rPr>
      </w:pPr>
    </w:p>
    <w:p w14:paraId="0909F477">
      <w:pPr>
        <w:pStyle w:val="2"/>
        <w:rPr>
          <w:rFonts w:hint="eastAsia"/>
        </w:rPr>
      </w:pPr>
    </w:p>
    <w:p w14:paraId="6DF3E4F1">
      <w:pPr>
        <w:spacing w:line="360" w:lineRule="auto"/>
        <w:rPr>
          <w:rFonts w:hint="eastAsia" w:ascii="仿宋" w:hAnsi="仿宋" w:eastAsia="仿宋" w:cs="仿宋"/>
          <w:bCs/>
          <w:sz w:val="24"/>
          <w:szCs w:val="24"/>
          <w:highlight w:val="none"/>
        </w:rPr>
      </w:pPr>
    </w:p>
    <w:p w14:paraId="39B9ED6C">
      <w:pPr>
        <w:spacing w:line="360" w:lineRule="auto"/>
        <w:rPr>
          <w:rFonts w:ascii="仿宋" w:hAnsi="仿宋" w:eastAsia="仿宋" w:cs="仿宋"/>
          <w:b/>
          <w:bCs/>
          <w:sz w:val="32"/>
          <w:szCs w:val="32"/>
          <w:highlight w:val="none"/>
        </w:rPr>
      </w:pPr>
      <w:r>
        <w:rPr>
          <w:rFonts w:hint="eastAsia" w:ascii="仿宋" w:hAnsi="仿宋" w:eastAsia="仿宋" w:cs="仿宋"/>
          <w:bCs/>
          <w:sz w:val="24"/>
          <w:szCs w:val="24"/>
          <w:highlight w:val="none"/>
        </w:rPr>
        <w:t>附件5</w:t>
      </w: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23" w:name="_Toc217446089"/>
    </w:p>
    <w:p w14:paraId="5EF884DB">
      <w:pPr>
        <w:pStyle w:val="2"/>
        <w:rPr>
          <w:rFonts w:hint="eastAsia" w:ascii="仿宋" w:hAnsi="仿宋" w:eastAsia="仿宋" w:cs="仿宋"/>
          <w:bCs/>
          <w:kern w:val="0"/>
          <w:sz w:val="24"/>
          <w:szCs w:val="24"/>
          <w:highlight w:val="none"/>
        </w:rPr>
      </w:pPr>
    </w:p>
    <w:p w14:paraId="178AAEAF">
      <w:pPr>
        <w:rPr>
          <w:rFonts w:hint="eastAsia" w:ascii="仿宋" w:hAnsi="仿宋" w:eastAsia="仿宋" w:cs="仿宋"/>
          <w:bCs/>
          <w:kern w:val="0"/>
          <w:sz w:val="24"/>
          <w:szCs w:val="24"/>
          <w:highlight w:val="none"/>
        </w:rPr>
      </w:pPr>
    </w:p>
    <w:p w14:paraId="78DA1FAF">
      <w:pPr>
        <w:pStyle w:val="2"/>
        <w:rPr>
          <w:rFonts w:hint="eastAsia"/>
        </w:rPr>
      </w:pPr>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3"/>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1B0F69-0783-4C53-9C52-11858BB211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17B513E6-5EEA-4083-8B0B-53168926639F}"/>
  </w:font>
  <w:font w:name="仿宋_GB2312">
    <w:panose1 w:val="02010609030101010101"/>
    <w:charset w:val="86"/>
    <w:family w:val="auto"/>
    <w:pitch w:val="default"/>
    <w:sig w:usb0="00000001" w:usb1="080E0000" w:usb2="00000000" w:usb3="00000000" w:csb0="00040000" w:csb1="00000000"/>
    <w:embedRegular r:id="rId3" w:fontKey="{D0E06BE0-60BA-4126-AE30-B1B142060105}"/>
  </w:font>
  <w:font w:name="方正公文小标宋">
    <w:panose1 w:val="02000500000000000000"/>
    <w:charset w:val="86"/>
    <w:family w:val="auto"/>
    <w:pitch w:val="default"/>
    <w:sig w:usb0="A00002BF" w:usb1="38CF7CFA" w:usb2="00000016" w:usb3="00000000" w:csb0="00040001" w:csb1="00000000"/>
    <w:embedRegular r:id="rId4" w:fontKey="{38877BFF-5069-4F66-BFA8-50CE5B9785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9"/>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9"/>
      </w:rPr>
    </w:pPr>
    <w:r>
      <w:fldChar w:fldCharType="begin"/>
    </w:r>
    <w:r>
      <w:rPr>
        <w:rStyle w:val="19"/>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8A3AF"/>
    <w:multiLevelType w:val="singleLevel"/>
    <w:tmpl w:val="9598A3AF"/>
    <w:lvl w:ilvl="0" w:tentative="0">
      <w:start w:val="1"/>
      <w:numFmt w:val="decimal"/>
      <w:suff w:val="nothing"/>
      <w:lvlText w:val="%1、"/>
      <w:lvlJc w:val="left"/>
    </w:lvl>
  </w:abstractNum>
  <w:abstractNum w:abstractNumId="1">
    <w:nsid w:val="A4C7C6E1"/>
    <w:multiLevelType w:val="singleLevel"/>
    <w:tmpl w:val="A4C7C6E1"/>
    <w:lvl w:ilvl="0" w:tentative="0">
      <w:start w:val="5"/>
      <w:numFmt w:val="chineseCounting"/>
      <w:suff w:val="nothing"/>
      <w:lvlText w:val="%1、"/>
      <w:lvlJc w:val="left"/>
      <w:rPr>
        <w:rFonts w:hint="eastAsia"/>
      </w:rPr>
    </w:lvl>
  </w:abstractNum>
  <w:abstractNum w:abstractNumId="2">
    <w:nsid w:val="A5171C62"/>
    <w:multiLevelType w:val="singleLevel"/>
    <w:tmpl w:val="A5171C62"/>
    <w:lvl w:ilvl="0" w:tentative="0">
      <w:start w:val="3"/>
      <w:numFmt w:val="chineseCounting"/>
      <w:suff w:val="nothing"/>
      <w:lvlText w:val="（%1）"/>
      <w:lvlJc w:val="left"/>
      <w:rPr>
        <w:rFonts w:hint="eastAsia"/>
      </w:rPr>
    </w:lvl>
  </w:abstractNum>
  <w:abstractNum w:abstractNumId="3">
    <w:nsid w:val="BAB6AEB1"/>
    <w:multiLevelType w:val="singleLevel"/>
    <w:tmpl w:val="BAB6AEB1"/>
    <w:lvl w:ilvl="0" w:tentative="0">
      <w:start w:val="7"/>
      <w:numFmt w:val="chineseCounting"/>
      <w:suff w:val="space"/>
      <w:lvlText w:val="（%1）"/>
      <w:lvlJc w:val="left"/>
      <w:rPr>
        <w:rFonts w:hint="eastAsia"/>
      </w:rPr>
    </w:lvl>
  </w:abstractNum>
  <w:abstractNum w:abstractNumId="4">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3B4C505F"/>
    <w:multiLevelType w:val="singleLevel"/>
    <w:tmpl w:val="3B4C505F"/>
    <w:lvl w:ilvl="0" w:tentative="0">
      <w:start w:val="1"/>
      <w:numFmt w:val="chineseCounting"/>
      <w:suff w:val="nothing"/>
      <w:lvlText w:val="%1、"/>
      <w:lvlJc w:val="left"/>
      <w:rPr>
        <w:rFonts w:hint="eastAsia"/>
      </w:rPr>
    </w:lvl>
  </w:abstractNum>
  <w:abstractNum w:abstractNumId="6">
    <w:nsid w:val="4578CF41"/>
    <w:multiLevelType w:val="singleLevel"/>
    <w:tmpl w:val="4578CF41"/>
    <w:lvl w:ilvl="0" w:tentative="0">
      <w:start w:val="1"/>
      <w:numFmt w:val="chineseCounting"/>
      <w:suff w:val="space"/>
      <w:lvlText w:val="第%1章"/>
      <w:lvlJc w:val="left"/>
      <w:rPr>
        <w:rFonts w:hint="eastAsia"/>
      </w:rPr>
    </w:lvl>
  </w:abstractNum>
  <w:abstractNum w:abstractNumId="7">
    <w:nsid w:val="45946062"/>
    <w:multiLevelType w:val="singleLevel"/>
    <w:tmpl w:val="45946062"/>
    <w:lvl w:ilvl="0" w:tentative="0">
      <w:start w:val="1"/>
      <w:numFmt w:val="decimal"/>
      <w:suff w:val="nothing"/>
      <w:lvlText w:val="%1、"/>
      <w:lvlJc w:val="left"/>
    </w:lvl>
  </w:abstractNum>
  <w:abstractNum w:abstractNumId="8">
    <w:nsid w:val="4B2DF71E"/>
    <w:multiLevelType w:val="singleLevel"/>
    <w:tmpl w:val="4B2DF71E"/>
    <w:lvl w:ilvl="0" w:tentative="0">
      <w:start w:val="1"/>
      <w:numFmt w:val="decimal"/>
      <w:suff w:val="nothing"/>
      <w:lvlText w:val="%1、"/>
      <w:lvlJc w:val="left"/>
    </w:lvl>
  </w:abstractNum>
  <w:abstractNum w:abstractNumId="9">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9"/>
  </w:num>
  <w:num w:numId="3">
    <w:abstractNumId w:val="6"/>
  </w:num>
  <w:num w:numId="4">
    <w:abstractNumId w:val="2"/>
  </w:num>
  <w:num w:numId="5">
    <w:abstractNumId w:val="8"/>
  </w:num>
  <w:num w:numId="6">
    <w:abstractNumId w:val="7"/>
  </w:num>
  <w:num w:numId="7">
    <w:abstractNumId w:val="3"/>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0FBF4992"/>
    <w:rsid w:val="10E16B8A"/>
    <w:rsid w:val="11692E07"/>
    <w:rsid w:val="11DA1B30"/>
    <w:rsid w:val="12F17558"/>
    <w:rsid w:val="13502D0A"/>
    <w:rsid w:val="13C479B3"/>
    <w:rsid w:val="14081913"/>
    <w:rsid w:val="143811B7"/>
    <w:rsid w:val="152534E9"/>
    <w:rsid w:val="155F532E"/>
    <w:rsid w:val="16EB3B9B"/>
    <w:rsid w:val="17081A00"/>
    <w:rsid w:val="17DB07D7"/>
    <w:rsid w:val="190A1374"/>
    <w:rsid w:val="19377C8F"/>
    <w:rsid w:val="19B71113"/>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8D2E59"/>
    <w:rsid w:val="24D740D4"/>
    <w:rsid w:val="25075CAA"/>
    <w:rsid w:val="258204E4"/>
    <w:rsid w:val="25B17454"/>
    <w:rsid w:val="29A349F9"/>
    <w:rsid w:val="29D11F74"/>
    <w:rsid w:val="29E351DD"/>
    <w:rsid w:val="2BFF1D42"/>
    <w:rsid w:val="2C33078A"/>
    <w:rsid w:val="2C84328E"/>
    <w:rsid w:val="2CA42DE1"/>
    <w:rsid w:val="2CED4F6B"/>
    <w:rsid w:val="2D1542AF"/>
    <w:rsid w:val="2D520CBF"/>
    <w:rsid w:val="2D5C161A"/>
    <w:rsid w:val="2E274D7B"/>
    <w:rsid w:val="2EE21121"/>
    <w:rsid w:val="2FAD2601"/>
    <w:rsid w:val="2FE45165"/>
    <w:rsid w:val="309B2467"/>
    <w:rsid w:val="31010479"/>
    <w:rsid w:val="31091496"/>
    <w:rsid w:val="314B4C91"/>
    <w:rsid w:val="32CD2A10"/>
    <w:rsid w:val="33DC5895"/>
    <w:rsid w:val="35284C04"/>
    <w:rsid w:val="35CE3363"/>
    <w:rsid w:val="37491522"/>
    <w:rsid w:val="3A5A3BAD"/>
    <w:rsid w:val="3A826D1A"/>
    <w:rsid w:val="3BE21884"/>
    <w:rsid w:val="3C557122"/>
    <w:rsid w:val="3C59428D"/>
    <w:rsid w:val="3CC54F57"/>
    <w:rsid w:val="3D5373E0"/>
    <w:rsid w:val="40112809"/>
    <w:rsid w:val="4065532C"/>
    <w:rsid w:val="41623A80"/>
    <w:rsid w:val="41BE23E1"/>
    <w:rsid w:val="420D14D6"/>
    <w:rsid w:val="421C7457"/>
    <w:rsid w:val="423A5D5C"/>
    <w:rsid w:val="429513FF"/>
    <w:rsid w:val="431B32FE"/>
    <w:rsid w:val="431D73DC"/>
    <w:rsid w:val="434A6B0B"/>
    <w:rsid w:val="451A208F"/>
    <w:rsid w:val="45AA61B4"/>
    <w:rsid w:val="462F56C6"/>
    <w:rsid w:val="46FC2990"/>
    <w:rsid w:val="47282841"/>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0884351"/>
    <w:rsid w:val="517E212C"/>
    <w:rsid w:val="54111726"/>
    <w:rsid w:val="542E6249"/>
    <w:rsid w:val="547B5F26"/>
    <w:rsid w:val="55711EBB"/>
    <w:rsid w:val="55BF1E12"/>
    <w:rsid w:val="55D55BA4"/>
    <w:rsid w:val="55E9251C"/>
    <w:rsid w:val="561843C9"/>
    <w:rsid w:val="5681463C"/>
    <w:rsid w:val="58816255"/>
    <w:rsid w:val="58A65CBC"/>
    <w:rsid w:val="58F6310D"/>
    <w:rsid w:val="5914654F"/>
    <w:rsid w:val="5A3115B5"/>
    <w:rsid w:val="5BF8682E"/>
    <w:rsid w:val="5CA72002"/>
    <w:rsid w:val="5CDB3E8E"/>
    <w:rsid w:val="5D1D4073"/>
    <w:rsid w:val="5D526A35"/>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786A75"/>
    <w:rsid w:val="67E71264"/>
    <w:rsid w:val="68806576"/>
    <w:rsid w:val="696F05B5"/>
    <w:rsid w:val="69C405B3"/>
    <w:rsid w:val="6A5F3F1C"/>
    <w:rsid w:val="6A9D0B41"/>
    <w:rsid w:val="6BB64010"/>
    <w:rsid w:val="6C371961"/>
    <w:rsid w:val="6D2825EA"/>
    <w:rsid w:val="6D594018"/>
    <w:rsid w:val="6EA6211A"/>
    <w:rsid w:val="6F601F1C"/>
    <w:rsid w:val="704669F8"/>
    <w:rsid w:val="70666005"/>
    <w:rsid w:val="71833E3D"/>
    <w:rsid w:val="719E17CE"/>
    <w:rsid w:val="72B7769C"/>
    <w:rsid w:val="73322077"/>
    <w:rsid w:val="748C1DB2"/>
    <w:rsid w:val="762244DF"/>
    <w:rsid w:val="763B6C8C"/>
    <w:rsid w:val="769E3AC5"/>
    <w:rsid w:val="76AE2E69"/>
    <w:rsid w:val="76E54993"/>
    <w:rsid w:val="78880BB9"/>
    <w:rsid w:val="78E71CAD"/>
    <w:rsid w:val="792B78C2"/>
    <w:rsid w:val="797D43BF"/>
    <w:rsid w:val="79E61F64"/>
    <w:rsid w:val="7AEC49C8"/>
    <w:rsid w:val="7B191EC6"/>
    <w:rsid w:val="7B7D5A51"/>
    <w:rsid w:val="7BF87061"/>
    <w:rsid w:val="7C556F2D"/>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0"/>
    <w:pPr>
      <w:spacing w:after="120"/>
    </w:pPr>
  </w:style>
  <w:style w:type="paragraph" w:styleId="5">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2"/>
    <w:autoRedefine/>
    <w:unhideWhenUsed/>
    <w:qFormat/>
    <w:uiPriority w:val="0"/>
    <w:pPr>
      <w:jc w:val="left"/>
    </w:pPr>
    <w:rPr>
      <w:rFonts w:ascii="宋体"/>
      <w:kern w:val="0"/>
      <w:sz w:val="34"/>
      <w:szCs w:val="22"/>
    </w:rPr>
  </w:style>
  <w:style w:type="paragraph" w:styleId="7">
    <w:name w:val="Body Text Indent"/>
    <w:basedOn w:val="1"/>
    <w:link w:val="33"/>
    <w:autoRedefine/>
    <w:qFormat/>
    <w:uiPriority w:val="0"/>
    <w:pPr>
      <w:ind w:firstLine="630"/>
    </w:pPr>
    <w:rPr>
      <w:sz w:val="32"/>
    </w:rPr>
  </w:style>
  <w:style w:type="paragraph" w:styleId="8">
    <w:name w:val="Balloon Text"/>
    <w:basedOn w:val="1"/>
    <w:link w:val="34"/>
    <w:autoRedefine/>
    <w:qFormat/>
    <w:uiPriority w:val="0"/>
    <w:rPr>
      <w:sz w:val="18"/>
      <w:szCs w:val="18"/>
    </w:rPr>
  </w:style>
  <w:style w:type="paragraph" w:styleId="9">
    <w:name w:val="footer"/>
    <w:basedOn w:val="1"/>
    <w:link w:val="28"/>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0"/>
    <w:autoRedefine/>
    <w:semiHidden/>
    <w:qFormat/>
    <w:uiPriority w:val="99"/>
    <w:rPr>
      <w:sz w:val="18"/>
      <w:szCs w:val="18"/>
    </w:rPr>
  </w:style>
  <w:style w:type="character" w:customStyle="1" w:styleId="28">
    <w:name w:val="页脚 Char"/>
    <w:basedOn w:val="17"/>
    <w:link w:val="9"/>
    <w:autoRedefine/>
    <w:semiHidden/>
    <w:qFormat/>
    <w:uiPriority w:val="99"/>
    <w:rPr>
      <w:sz w:val="18"/>
      <w:szCs w:val="18"/>
    </w:rPr>
  </w:style>
  <w:style w:type="character" w:customStyle="1" w:styleId="29">
    <w:name w:val="标题 1 Char"/>
    <w:basedOn w:val="17"/>
    <w:link w:val="3"/>
    <w:autoRedefine/>
    <w:qFormat/>
    <w:uiPriority w:val="0"/>
    <w:rPr>
      <w:rFonts w:ascii="黑体" w:hAnsi="黑体" w:eastAsia="黑体" w:cs="Times New Roman"/>
      <w:b/>
      <w:kern w:val="44"/>
      <w:sz w:val="32"/>
      <w:szCs w:val="32"/>
    </w:rPr>
  </w:style>
  <w:style w:type="character" w:customStyle="1" w:styleId="30">
    <w:name w:val="标题 2 Char"/>
    <w:basedOn w:val="17"/>
    <w:link w:val="4"/>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6"/>
    <w:autoRedefine/>
    <w:qFormat/>
    <w:uiPriority w:val="99"/>
    <w:rPr>
      <w:rFonts w:ascii="宋体" w:hAnsi="Times New Roman" w:eastAsia="宋体" w:cs="Times New Roman"/>
      <w:kern w:val="0"/>
      <w:sz w:val="34"/>
    </w:rPr>
  </w:style>
  <w:style w:type="character" w:customStyle="1" w:styleId="33">
    <w:name w:val="正文文本缩进 Char"/>
    <w:basedOn w:val="17"/>
    <w:link w:val="7"/>
    <w:autoRedefine/>
    <w:qFormat/>
    <w:uiPriority w:val="0"/>
    <w:rPr>
      <w:rFonts w:ascii="Times New Roman" w:hAnsi="Times New Roman" w:eastAsia="宋体" w:cs="Times New Roman"/>
      <w:sz w:val="32"/>
      <w:szCs w:val="20"/>
    </w:rPr>
  </w:style>
  <w:style w:type="character" w:customStyle="1" w:styleId="34">
    <w:name w:val="批注框文本 Char"/>
    <w:basedOn w:val="17"/>
    <w:link w:val="8"/>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5"/>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12"/>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 w:type="character" w:customStyle="1" w:styleId="55">
    <w:name w:val="font61"/>
    <w:basedOn w:val="17"/>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18662</Words>
  <Characters>19246</Characters>
  <Lines>129</Lines>
  <Paragraphs>36</Paragraphs>
  <TotalTime>2</TotalTime>
  <ScaleCrop>false</ScaleCrop>
  <LinksUpToDate>false</LinksUpToDate>
  <CharactersWithSpaces>19850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2024-12-02T07:08:00Z</cp:lastPrinted>
  <dcterms:modified xsi:type="dcterms:W3CDTF">2025-02-24T07:38:43Z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ABD4243711FC4EFEAAB2683CCD056AB5_13</vt:lpwstr>
  </property>
  <property fmtid="{D5CDD505-2E9C-101B-9397-08002B2CF9AE}" pid="4" name="KSOTemplateDocerSaveRecord">
    <vt:lpwstr>eyJoZGlkIjoiNzhmZGE0NDUzMWE0ODk1YWVjYWZlODk0OWQzNjBlOWYiLCJ1c2VySWQiOiI0NTY0NDMzOTMifQ==</vt:lpwstr>
  </property>
</Properties>
</file>