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报价一览表</w:t>
      </w:r>
    </w:p>
    <w:p>
      <w:pPr>
        <w:spacing w:afterLines="50"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大竹县人民医院配电系统维保采购项目</w:t>
      </w:r>
    </w:p>
    <w:tbl>
      <w:tblPr>
        <w:tblStyle w:val="4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866"/>
        <w:gridCol w:w="4405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Lines="50"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Lines="50" w:line="48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Lines="50" w:line="48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供应商报价合计金额（元）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Lines="50"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Lines="50" w:line="480" w:lineRule="exact"/>
              <w:ind w:firstLine="280" w:firstLineChars="1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Lines="50"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大竹县人民医院配电系统维保采购项目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Lines="50" w:line="480" w:lineRule="exact"/>
              <w:ind w:firstLine="560" w:firstLineChars="200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小写：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（XXX元/2年）</w:t>
            </w:r>
          </w:p>
          <w:p>
            <w:pPr>
              <w:spacing w:afterLines="50" w:line="48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人民币XXXXXX元整/两年）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Lines="50" w:line="48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spacing w:afterLines="50"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注：1、报价人必须按上表的格式详细报出总价，否则作无效询价处理。</w:t>
      </w:r>
    </w:p>
    <w:p>
      <w:pPr>
        <w:spacing w:afterLines="50"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2.“报价一览表”为多页的，每页均需由法定代表人/单位负责人或授权代表签字或盖供应商印章。</w:t>
      </w:r>
    </w:p>
    <w:p>
      <w:pPr>
        <w:spacing w:afterLines="50"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.报价前供应商应派人自行现场勘查。采购人需求调查文件中遗漏的大竹县人民医院10KV配电系统及400V配电系统（不含各楼层分级配电箱）中功能构成的设施及设备均应在本项目维保范围内，供应商认为遗漏的设施设备在维保费用中占比较大，可以在报价表备注中详细列出，并注明费用。供应商在报价文件中未注明内容，而采购人10KV配电系统及400V配电系统（不含各楼层分级配电箱）中客观存在的设施设备，视为供应商默认承担该设施设备的维保服务，且包含在本项目报价中。</w:t>
      </w:r>
    </w:p>
    <w:p>
      <w:pPr>
        <w:spacing w:afterLines="50"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                              供应商名称：</w:t>
      </w:r>
    </w:p>
    <w:p>
      <w:pPr>
        <w:spacing w:afterLines="50"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       法定代表人或授权代表（签字或盖章）：</w:t>
      </w:r>
    </w:p>
    <w:p>
      <w:pPr>
        <w:spacing w:afterLines="50" w:line="480" w:lineRule="exact"/>
        <w:ind w:firstLine="6720" w:firstLineChars="24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日期：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YmYyY2JlZTYwNDk3ZmRmYWI3ZWQ0MWIyZDNhY2QifQ=="/>
  </w:docVars>
  <w:rsids>
    <w:rsidRoot w:val="53DC2AFA"/>
    <w:rsid w:val="53DC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2024-04-26T08:08:00Z</dcterms:created>
  <dc:creator>刘芷辰</dc:creator>
  <cp:lastModifiedBy>刘芷辰</cp:lastModifiedBy>
  <dcterms:modified xsi:type="dcterms:W3CDTF">2024-04-26T08:32:17Z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E9019305C98746998C8E47D2EE6E740D_11</vt:lpwstr>
  </property>
</Properties>
</file>