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大竹县人民医院长虹牌四面出风型固定式天花机</w:t>
      </w:r>
    </w:p>
    <w:p>
      <w:pPr>
        <w:jc w:val="center"/>
        <w:rPr>
          <w:rFonts w:hint="eastAsia" w:ascii="仿宋" w:hAnsi="仿宋" w:eastAsia="仿宋" w:cs="仿宋"/>
          <w:b/>
          <w:sz w:val="28"/>
          <w:szCs w:val="28"/>
          <w:lang w:val="en-US" w:eastAsia="zh-CN"/>
        </w:rPr>
      </w:pPr>
      <w:r>
        <w:rPr>
          <w:rFonts w:hint="eastAsia" w:ascii="方正小标宋_GBK" w:hAnsi="方正小标宋_GBK" w:eastAsia="方正小标宋_GBK" w:cs="方正小标宋_GBK"/>
          <w:sz w:val="32"/>
          <w:szCs w:val="32"/>
          <w:lang w:val="en-US" w:eastAsia="zh-CN"/>
        </w:rPr>
        <w:t>需求调查报价表</w:t>
      </w:r>
    </w:p>
    <w:p>
      <w:pPr>
        <w:pStyle w:val="6"/>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6"/>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（涉及报价金额位置请供应商加盖鲜章）        </w:t>
      </w:r>
    </w:p>
    <w:p>
      <w:r>
        <w:rPr>
          <w:rFonts w:hint="eastAsia"/>
        </w:rPr>
        <w:t xml:space="preserve">   </w:t>
      </w:r>
    </w:p>
    <w:p>
      <w:pPr>
        <w:pStyle w:val="7"/>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一、项目预算</w:t>
      </w:r>
    </w:p>
    <w:p>
      <w:pPr>
        <w:pStyle w:val="11"/>
        <w:keepNext w:val="0"/>
        <w:keepLines w:val="0"/>
        <w:pageBreakBefore w:val="0"/>
        <w:widowControl w:val="0"/>
        <w:kinsoku/>
        <w:wordWrap/>
        <w:overflowPunct/>
        <w:topLinePunct w:val="0"/>
        <w:autoSpaceDE/>
        <w:autoSpaceDN/>
        <w:bidi w:val="0"/>
        <w:adjustRightInd/>
        <w:snapToGrid/>
        <w:spacing w:line="480" w:lineRule="exact"/>
        <w:ind w:right="31" w:rightChars="15" w:firstLine="560" w:firstLineChars="200"/>
        <w:textAlignment w:val="auto"/>
        <w:rPr>
          <w:rFonts w:hint="eastAsia" w:ascii="仿宋" w:hAnsi="仿宋" w:eastAsia="仿宋" w:cs="仿宋"/>
          <w:spacing w:val="-14"/>
          <w:sz w:val="28"/>
          <w:szCs w:val="28"/>
        </w:rPr>
      </w:pPr>
      <w:r>
        <w:rPr>
          <w:rFonts w:hint="eastAsia" w:ascii="仿宋" w:hAnsi="仿宋" w:eastAsia="仿宋" w:cs="仿宋"/>
          <w:sz w:val="28"/>
          <w:szCs w:val="28"/>
        </w:rPr>
        <w:t>1、本项目采购总预算</w:t>
      </w:r>
      <w:r>
        <w:rPr>
          <w:rFonts w:hint="eastAsia" w:ascii="仿宋" w:hAnsi="仿宋" w:eastAsia="仿宋" w:cs="仿宋"/>
          <w:sz w:val="28"/>
          <w:szCs w:val="28"/>
          <w:lang w:val="en-US" w:eastAsia="zh-CN"/>
        </w:rPr>
        <w:t>约</w:t>
      </w:r>
      <w:r>
        <w:rPr>
          <w:rFonts w:hint="eastAsia" w:ascii="仿宋" w:hAnsi="仿宋" w:eastAsia="仿宋" w:cs="仿宋"/>
          <w:sz w:val="28"/>
          <w:szCs w:val="28"/>
        </w:rPr>
        <w:t>：</w:t>
      </w:r>
      <w:r>
        <w:rPr>
          <w:rFonts w:hint="eastAsia" w:ascii="仿宋" w:hAnsi="仿宋" w:eastAsia="仿宋" w:cs="仿宋"/>
          <w:sz w:val="28"/>
          <w:szCs w:val="28"/>
          <w:lang w:eastAsia="zh-CN"/>
        </w:rPr>
        <w:t>90810</w:t>
      </w:r>
      <w:r>
        <w:rPr>
          <w:rFonts w:hint="eastAsia" w:ascii="仿宋" w:hAnsi="仿宋" w:eastAsia="仿宋" w:cs="仿宋"/>
          <w:sz w:val="28"/>
          <w:szCs w:val="28"/>
        </w:rPr>
        <w:t>元</w:t>
      </w:r>
    </w:p>
    <w:p>
      <w:pPr>
        <w:pStyle w:val="7"/>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eastAsia="仿宋"/>
          <w:lang w:val="en-US" w:eastAsia="zh-CN"/>
        </w:rPr>
      </w:pPr>
      <w:bookmarkStart w:id="0" w:name="EB43c53e641d4b44f7a21c91dd14912275"/>
      <w:r>
        <w:rPr>
          <w:rFonts w:hint="eastAsia" w:ascii="仿宋" w:hAnsi="仿宋" w:eastAsia="仿宋" w:cs="仿宋"/>
          <w:b/>
          <w:sz w:val="28"/>
          <w:szCs w:val="28"/>
        </w:rPr>
        <w:t>二、项目概况须知</w:t>
      </w:r>
    </w:p>
    <w:p>
      <w:pPr>
        <w:pStyle w:val="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lang w:val="en-US" w:eastAsia="zh-CN"/>
        </w:rPr>
        <w:t>本项目采购人为当地三级甲等医院，肩负社会公益性责任和社会普遍救治任务，承担大竹县全域大部分患者的救治任务，门诊收治患者约56万人次，住院部收治患者5万人次，患者流量巨大。目前医院的内科大楼、感染科大楼、门诊大楼、发热门诊所有病房均采用分体式空调，现有700余台空调，大部分为长虹牌空调，购入时间及使用老旧情况均不一样。采购人现用空调一般经多次维修仍无法解决故障时才会报废更换新空调，或采购人</w:t>
      </w:r>
      <w:r>
        <w:rPr>
          <w:rFonts w:hint="eastAsia" w:ascii="仿宋" w:hAnsi="仿宋" w:eastAsia="仿宋" w:cs="仿宋"/>
          <w:sz w:val="28"/>
          <w:szCs w:val="28"/>
        </w:rPr>
        <w:t>对接上级行政部门布置的突发任务，行业医学交流，疫情防控政策要求，环境温度剧变等，</w:t>
      </w:r>
      <w:r>
        <w:rPr>
          <w:rFonts w:hint="eastAsia" w:ascii="仿宋" w:hAnsi="仿宋" w:eastAsia="仿宋" w:cs="仿宋"/>
          <w:sz w:val="28"/>
          <w:szCs w:val="28"/>
          <w:lang w:val="en-US" w:eastAsia="zh-CN"/>
        </w:rPr>
        <w:t>会按上</w:t>
      </w:r>
      <w:r>
        <w:rPr>
          <w:rFonts w:hint="eastAsia" w:ascii="仿宋" w:hAnsi="仿宋" w:eastAsia="仿宋" w:cs="仿宋"/>
          <w:color w:val="auto"/>
          <w:sz w:val="28"/>
          <w:szCs w:val="28"/>
          <w:lang w:val="en-US" w:eastAsia="zh-CN"/>
        </w:rPr>
        <w:t>级部门要求紧急</w:t>
      </w:r>
      <w:r>
        <w:rPr>
          <w:rFonts w:hint="eastAsia" w:ascii="仿宋" w:hAnsi="仿宋" w:eastAsia="仿宋" w:cs="仿宋"/>
          <w:color w:val="auto"/>
          <w:sz w:val="28"/>
          <w:szCs w:val="28"/>
        </w:rPr>
        <w:t>新购置</w:t>
      </w:r>
      <w:r>
        <w:rPr>
          <w:rFonts w:hint="eastAsia" w:ascii="仿宋" w:hAnsi="仿宋" w:eastAsia="仿宋" w:cs="仿宋"/>
          <w:color w:val="auto"/>
          <w:sz w:val="28"/>
          <w:szCs w:val="28"/>
          <w:lang w:val="en-US" w:eastAsia="zh-CN"/>
        </w:rPr>
        <w:t>新</w:t>
      </w:r>
      <w:r>
        <w:rPr>
          <w:rFonts w:hint="eastAsia" w:ascii="仿宋" w:hAnsi="仿宋" w:eastAsia="仿宋" w:cs="仿宋"/>
          <w:color w:val="auto"/>
          <w:sz w:val="28"/>
          <w:szCs w:val="28"/>
        </w:rPr>
        <w:t>空调。</w:t>
      </w:r>
    </w:p>
    <w:p>
      <w:pPr>
        <w:pStyle w:val="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本项目采购人共采购约12台长虹牌四面出风型固定式天花机，其中5P机型7台、3P机型5台，供应商在接采购人采购通知后按时完成货物供货及安装。（夏季6月、7月、8月及冬季12月、1月、2月期间，成交供应商在接采购人通知后应在24小时内完成货物的供货及安装，其余时间48小时内完成货物供货及安装）</w:t>
      </w:r>
    </w:p>
    <w:p>
      <w:pPr>
        <w:pStyle w:val="8"/>
        <w:rPr>
          <w:rFonts w:hint="eastAsia"/>
        </w:rPr>
      </w:pPr>
    </w:p>
    <w:p>
      <w:pPr>
        <w:pStyle w:val="7"/>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p>
    <w:p>
      <w:pPr>
        <w:pStyle w:val="7"/>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p>
    <w:p>
      <w:pPr>
        <w:pStyle w:val="7"/>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p>
    <w:p>
      <w:pPr>
        <w:pStyle w:val="7"/>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三、采购标的</w:t>
      </w:r>
    </w:p>
    <w:p>
      <w:pPr>
        <w:pStyle w:val="12"/>
        <w:spacing w:line="5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报价一览表</w:t>
      </w:r>
    </w:p>
    <w:p>
      <w:pPr>
        <w:pStyle w:val="12"/>
        <w:spacing w:line="560" w:lineRule="exact"/>
        <w:jc w:val="center"/>
        <w:rPr>
          <w:rFonts w:hint="eastAsia" w:ascii="仿宋" w:hAnsi="仿宋" w:eastAsia="仿宋" w:cs="仿宋"/>
          <w:b/>
          <w:color w:val="FF0000"/>
          <w:sz w:val="28"/>
          <w:szCs w:val="28"/>
          <w:lang w:val="en-US" w:eastAsia="zh-CN"/>
        </w:rPr>
      </w:pPr>
      <w:r>
        <w:rPr>
          <w:rFonts w:hint="eastAsia" w:ascii="仿宋" w:hAnsi="仿宋" w:eastAsia="仿宋" w:cs="仿宋"/>
          <w:b/>
          <w:color w:val="FF0000"/>
          <w:sz w:val="28"/>
          <w:szCs w:val="28"/>
          <w:lang w:val="en-US" w:eastAsia="zh-CN"/>
        </w:rPr>
        <w:t>（此表前后页共两页，报价供应商均需单独盖章）</w:t>
      </w:r>
    </w:p>
    <w:p>
      <w:pPr>
        <w:pStyle w:val="7"/>
        <w:rPr>
          <w:rFonts w:hint="default"/>
          <w:b w:val="0"/>
          <w:bCs/>
          <w:sz w:val="16"/>
          <w:szCs w:val="20"/>
          <w:lang w:val="en-US" w:eastAsia="zh-CN"/>
        </w:rPr>
      </w:pPr>
      <w:r>
        <w:rPr>
          <w:rFonts w:hint="eastAsia" w:ascii="仿宋" w:hAnsi="仿宋" w:eastAsia="仿宋" w:cs="仿宋"/>
          <w:b w:val="0"/>
          <w:bCs/>
          <w:sz w:val="21"/>
          <w:szCs w:val="21"/>
          <w:lang w:val="en-US" w:eastAsia="zh-CN"/>
        </w:rPr>
        <w:t>注：供应商需在16、17、18栏进行报价</w:t>
      </w:r>
    </w:p>
    <w:tbl>
      <w:tblPr>
        <w:tblStyle w:val="4"/>
        <w:tblW w:w="8745" w:type="dxa"/>
        <w:jc w:val="center"/>
        <w:tblLayout w:type="autofit"/>
        <w:tblCellMar>
          <w:top w:w="0" w:type="dxa"/>
          <w:left w:w="108" w:type="dxa"/>
          <w:bottom w:w="0" w:type="dxa"/>
          <w:right w:w="108" w:type="dxa"/>
        </w:tblCellMar>
      </w:tblPr>
      <w:tblGrid>
        <w:gridCol w:w="573"/>
        <w:gridCol w:w="2783"/>
        <w:gridCol w:w="2721"/>
        <w:gridCol w:w="2668"/>
      </w:tblGrid>
      <w:tr>
        <w:tblPrEx>
          <w:tblCellMar>
            <w:top w:w="0" w:type="dxa"/>
            <w:left w:w="108" w:type="dxa"/>
            <w:bottom w:w="0" w:type="dxa"/>
            <w:right w:w="108" w:type="dxa"/>
          </w:tblCellMar>
        </w:tblPrEx>
        <w:trPr>
          <w:cantSplit/>
          <w:trHeight w:val="158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b/>
                <w:bCs/>
                <w:szCs w:val="21"/>
              </w:rPr>
            </w:pPr>
            <w:r>
              <w:rPr>
                <w:rFonts w:ascii="Times New Roman" w:hAnsi="Times New Roman"/>
                <w:b/>
                <w:bCs/>
                <w:szCs w:val="21"/>
              </w:rPr>
              <w:t>序号</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b/>
                <w:bCs/>
                <w:szCs w:val="21"/>
                <w:lang w:val="en-US" w:eastAsia="zh-CN"/>
              </w:rPr>
            </w:pPr>
            <w:r>
              <w:rPr>
                <w:rFonts w:hint="eastAsia" w:ascii="Times New Roman" w:hAnsi="Times New Roman"/>
                <w:b/>
                <w:bCs/>
                <w:szCs w:val="21"/>
                <w:lang w:val="en-US" w:eastAsia="zh-CN"/>
              </w:rPr>
              <w:t>型号规格</w:t>
            </w:r>
          </w:p>
        </w:tc>
        <w:tc>
          <w:tcPr>
            <w:tcW w:w="2721" w:type="dxa"/>
            <w:tcBorders>
              <w:top w:val="single" w:color="auto" w:sz="4" w:space="0"/>
              <w:left w:val="single" w:color="auto" w:sz="4" w:space="0"/>
              <w:right w:val="single" w:color="auto" w:sz="4" w:space="0"/>
            </w:tcBorders>
            <w:noWrap w:val="0"/>
            <w:vAlign w:val="center"/>
          </w:tcPr>
          <w:p>
            <w:pPr>
              <w:pStyle w:val="13"/>
              <w:spacing w:line="360" w:lineRule="auto"/>
              <w:jc w:val="center"/>
              <w:rPr>
                <w:rFonts w:ascii="Times New Roman" w:hAnsi="Times New Roman"/>
                <w:b/>
                <w:bCs/>
                <w:szCs w:val="21"/>
              </w:rPr>
            </w:pPr>
            <w:r>
              <w:rPr>
                <w:rFonts w:hint="eastAsia" w:ascii="Times New Roman" w:hAnsi="Times New Roman"/>
                <w:b/>
                <w:bCs/>
                <w:szCs w:val="21"/>
                <w:lang w:val="en-US" w:eastAsia="zh-CN"/>
              </w:rPr>
              <w:t>3</w:t>
            </w:r>
            <w:r>
              <w:rPr>
                <w:rFonts w:ascii="Times New Roman" w:hAnsi="Times New Roman"/>
                <w:b/>
                <w:bCs/>
                <w:szCs w:val="21"/>
              </w:rPr>
              <w:t>P</w:t>
            </w:r>
          </w:p>
          <w:p>
            <w:pPr>
              <w:pStyle w:val="13"/>
              <w:spacing w:line="360" w:lineRule="auto"/>
              <w:jc w:val="center"/>
              <w:rPr>
                <w:rFonts w:ascii="Times New Roman" w:hAnsi="Times New Roman"/>
                <w:b/>
                <w:bCs/>
                <w:szCs w:val="21"/>
              </w:rPr>
            </w:pPr>
            <w:r>
              <w:rPr>
                <w:rFonts w:hint="eastAsia" w:ascii="Times New Roman" w:hAnsi="Times New Roman"/>
                <w:b/>
                <w:bCs/>
                <w:szCs w:val="21"/>
              </w:rPr>
              <w:t>长虹牌四面出风型固定式天花机</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b/>
                <w:bCs/>
                <w:szCs w:val="21"/>
              </w:rPr>
            </w:pPr>
            <w:r>
              <w:rPr>
                <w:rFonts w:hint="eastAsia" w:ascii="Times New Roman" w:hAnsi="Times New Roman"/>
                <w:b/>
                <w:bCs/>
                <w:szCs w:val="21"/>
                <w:lang w:val="en-US" w:eastAsia="zh-CN"/>
              </w:rPr>
              <w:t>5</w:t>
            </w:r>
            <w:r>
              <w:rPr>
                <w:rFonts w:ascii="Times New Roman" w:hAnsi="Times New Roman"/>
                <w:b/>
                <w:bCs/>
                <w:szCs w:val="21"/>
              </w:rPr>
              <w:t>P</w:t>
            </w:r>
          </w:p>
          <w:p>
            <w:pPr>
              <w:pStyle w:val="13"/>
              <w:spacing w:line="360" w:lineRule="auto"/>
              <w:jc w:val="center"/>
              <w:rPr>
                <w:rFonts w:ascii="Times New Roman" w:hAnsi="Times New Roman"/>
                <w:b/>
                <w:bCs/>
                <w:szCs w:val="21"/>
              </w:rPr>
            </w:pPr>
            <w:r>
              <w:rPr>
                <w:rFonts w:hint="eastAsia" w:ascii="Times New Roman" w:hAnsi="Times New Roman"/>
                <w:b/>
                <w:bCs/>
                <w:szCs w:val="21"/>
              </w:rPr>
              <w:t>长虹牌四面出风型固定式天花机</w:t>
            </w:r>
          </w:p>
        </w:tc>
      </w:tr>
      <w:tr>
        <w:tblPrEx>
          <w:tblCellMar>
            <w:top w:w="0" w:type="dxa"/>
            <w:left w:w="108" w:type="dxa"/>
            <w:bottom w:w="0" w:type="dxa"/>
            <w:right w:w="108" w:type="dxa"/>
          </w:tblCellMar>
        </w:tblPrEx>
        <w:trPr>
          <w:cantSplit/>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1</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val="en-US" w:eastAsia="zh-CN"/>
              </w:rPr>
            </w:pPr>
            <w:r>
              <w:rPr>
                <w:rFonts w:hint="eastAsia" w:ascii="Times New Roman" w:hAnsi="Times New Roman"/>
                <w:szCs w:val="21"/>
                <w:lang w:val="en-US" w:eastAsia="zh-CN"/>
              </w:rPr>
              <w:t>采购人预计</w:t>
            </w:r>
          </w:p>
          <w:p>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采购数量（台）</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sz w:val="28"/>
                <w:szCs w:val="28"/>
                <w:lang w:val="en-US" w:eastAsia="zh-CN"/>
              </w:rPr>
            </w:pPr>
            <w:r>
              <w:rPr>
                <w:rFonts w:hint="eastAsia" w:ascii="Times New Roman" w:hAnsi="Times New Roman" w:eastAsia="宋体" w:cs="Times New Roman"/>
                <w:i w:val="0"/>
                <w:iCs w:val="0"/>
                <w:color w:val="000000"/>
                <w:kern w:val="0"/>
                <w:sz w:val="28"/>
                <w:szCs w:val="28"/>
                <w:u w:val="none"/>
                <w:lang w:val="en-US" w:eastAsia="zh-CN" w:bidi="ar"/>
              </w:rPr>
              <w:t>5</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sz w:val="28"/>
                <w:szCs w:val="28"/>
                <w:lang w:val="en-US" w:eastAsia="zh-CN"/>
              </w:rPr>
            </w:pPr>
            <w:r>
              <w:rPr>
                <w:rFonts w:hint="eastAsia" w:ascii="Times New Roman" w:hAnsi="Times New Roman" w:eastAsia="宋体" w:cs="Times New Roman"/>
                <w:i w:val="0"/>
                <w:iCs w:val="0"/>
                <w:color w:val="000000"/>
                <w:kern w:val="0"/>
                <w:sz w:val="28"/>
                <w:szCs w:val="28"/>
                <w:u w:val="none"/>
                <w:lang w:val="en-US" w:eastAsia="zh-CN" w:bidi="ar"/>
              </w:rPr>
              <w:t>7</w:t>
            </w:r>
          </w:p>
        </w:tc>
      </w:tr>
      <w:tr>
        <w:tblPrEx>
          <w:tblCellMar>
            <w:top w:w="0" w:type="dxa"/>
            <w:left w:w="108" w:type="dxa"/>
            <w:bottom w:w="0" w:type="dxa"/>
            <w:right w:w="108" w:type="dxa"/>
          </w:tblCellMar>
        </w:tblPrEx>
        <w:trPr>
          <w:cantSplit/>
          <w:trHeight w:val="87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val="en-US" w:eastAsia="zh-CN"/>
              </w:rPr>
            </w:pPr>
            <w:r>
              <w:rPr>
                <w:rFonts w:hint="eastAsia" w:ascii="Times New Roman" w:hAnsi="Times New Roman"/>
                <w:szCs w:val="21"/>
                <w:lang w:val="en-US" w:eastAsia="zh-CN"/>
              </w:rPr>
              <w:t>2</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hint="eastAsia" w:ascii="Times New Roman" w:hAnsi="Times New Roman"/>
                <w:szCs w:val="21"/>
                <w:lang w:val="en-US" w:eastAsia="zh-CN"/>
              </w:rPr>
              <w:t>空调</w:t>
            </w:r>
            <w:r>
              <w:rPr>
                <w:rFonts w:ascii="Times New Roman" w:hAnsi="Times New Roman"/>
                <w:szCs w:val="21"/>
              </w:rPr>
              <w:t>规格</w:t>
            </w:r>
          </w:p>
          <w:p>
            <w:pPr>
              <w:pStyle w:val="13"/>
              <w:spacing w:line="360" w:lineRule="auto"/>
              <w:jc w:val="center"/>
              <w:rPr>
                <w:rFonts w:ascii="Times New Roman" w:hAnsi="Times New Roman"/>
                <w:szCs w:val="21"/>
                <w:lang w:val="en-US" w:eastAsia="zh-CN"/>
              </w:rPr>
            </w:pPr>
            <w:r>
              <w:rPr>
                <w:rFonts w:ascii="Times New Roman" w:hAnsi="Times New Roman"/>
                <w:szCs w:val="21"/>
              </w:rPr>
              <w:t>类别</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 w:val="28"/>
                <w:szCs w:val="28"/>
                <w:lang w:val="en-US" w:eastAsia="zh-CN"/>
              </w:rPr>
            </w:pPr>
            <w:r>
              <w:rPr>
                <w:rFonts w:hint="eastAsia" w:ascii="Times New Roman" w:hAnsi="Times New Roman"/>
                <w:szCs w:val="21"/>
                <w:lang w:val="en-US" w:eastAsia="zh-CN"/>
              </w:rPr>
              <w:t>3</w:t>
            </w:r>
            <w:r>
              <w:rPr>
                <w:rFonts w:ascii="Times New Roman" w:hAnsi="Times New Roman"/>
                <w:szCs w:val="21"/>
              </w:rPr>
              <w:t>P</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 w:val="28"/>
                <w:szCs w:val="28"/>
                <w:lang w:val="en-US" w:eastAsia="zh-CN"/>
              </w:rPr>
            </w:pPr>
            <w:r>
              <w:rPr>
                <w:rFonts w:hint="eastAsia" w:ascii="Times New Roman" w:hAnsi="Times New Roman"/>
                <w:szCs w:val="21"/>
                <w:lang w:val="en-US" w:eastAsia="zh-CN"/>
              </w:rPr>
              <w:t>5</w:t>
            </w:r>
            <w:r>
              <w:rPr>
                <w:rFonts w:ascii="Times New Roman" w:hAnsi="Times New Roman"/>
                <w:szCs w:val="21"/>
              </w:rPr>
              <w:t>P</w:t>
            </w:r>
          </w:p>
        </w:tc>
      </w:tr>
      <w:tr>
        <w:tblPrEx>
          <w:tblCellMar>
            <w:top w:w="0" w:type="dxa"/>
            <w:left w:w="108" w:type="dxa"/>
            <w:bottom w:w="0" w:type="dxa"/>
            <w:right w:w="108" w:type="dxa"/>
          </w:tblCellMar>
        </w:tblPrEx>
        <w:trPr>
          <w:cantSplit/>
          <w:trHeight w:val="57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3</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额定</w:t>
            </w:r>
          </w:p>
          <w:p>
            <w:pPr>
              <w:pStyle w:val="13"/>
              <w:spacing w:line="360" w:lineRule="auto"/>
              <w:jc w:val="center"/>
              <w:rPr>
                <w:rFonts w:ascii="Times New Roman" w:hAnsi="Times New Roman"/>
                <w:szCs w:val="21"/>
              </w:rPr>
            </w:pPr>
            <w:r>
              <w:rPr>
                <w:rFonts w:ascii="Times New Roman" w:hAnsi="Times New Roman"/>
                <w:szCs w:val="21"/>
              </w:rPr>
              <w:t>制冷量（W</w:t>
            </w:r>
            <w:r>
              <w:rPr>
                <w:rFonts w:ascii="宋体" w:hAnsi="宋体"/>
                <w:szCs w:val="21"/>
              </w:rPr>
              <w:t>）</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7200≤</w:t>
            </w:r>
            <w:r>
              <w:rPr>
                <w:rFonts w:ascii="宋体" w:hAnsi="宋体"/>
                <w:szCs w:val="21"/>
              </w:rPr>
              <w:t>额定制冷量＜</w:t>
            </w:r>
            <w:r>
              <w:rPr>
                <w:rFonts w:ascii="Times New Roman" w:hAnsi="Times New Roman"/>
                <w:szCs w:val="21"/>
              </w:rPr>
              <w:t>12000</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额定制冷量</w:t>
            </w:r>
            <w:r>
              <w:rPr>
                <w:rFonts w:hint="eastAsia" w:ascii="Times New Roman" w:hAnsi="Times New Roman"/>
                <w:szCs w:val="21"/>
                <w:lang w:val="en-US" w:eastAsia="zh-CN"/>
              </w:rPr>
              <w:t>≥</w:t>
            </w:r>
            <w:r>
              <w:rPr>
                <w:rFonts w:ascii="Times New Roman" w:hAnsi="Times New Roman"/>
                <w:szCs w:val="21"/>
              </w:rPr>
              <w:t>12000</w:t>
            </w:r>
          </w:p>
        </w:tc>
      </w:tr>
      <w:tr>
        <w:tblPrEx>
          <w:tblCellMar>
            <w:top w:w="0" w:type="dxa"/>
            <w:left w:w="108" w:type="dxa"/>
            <w:bottom w:w="0" w:type="dxa"/>
            <w:right w:w="108" w:type="dxa"/>
          </w:tblCellMar>
        </w:tblPrEx>
        <w:trPr>
          <w:cantSplit/>
          <w:trHeight w:val="76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4</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适用面积</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32-50</w:t>
            </w:r>
            <w:r>
              <w:rPr>
                <w:rFonts w:ascii="宋体" w:hAnsi="宋体"/>
                <w:szCs w:val="21"/>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46-70</w:t>
            </w:r>
            <w:r>
              <w:rPr>
                <w:rFonts w:ascii="宋体" w:hAnsi="宋体"/>
                <w:szCs w:val="21"/>
              </w:rPr>
              <w:t>㎡</w:t>
            </w:r>
          </w:p>
        </w:tc>
      </w:tr>
      <w:tr>
        <w:tblPrEx>
          <w:tblCellMar>
            <w:top w:w="0" w:type="dxa"/>
            <w:left w:w="108" w:type="dxa"/>
            <w:bottom w:w="0" w:type="dxa"/>
            <w:right w:w="108" w:type="dxa"/>
          </w:tblCellMar>
        </w:tblPrEx>
        <w:trPr>
          <w:cantSplit/>
          <w:trHeight w:val="27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5</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冷暖类型</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冷暖</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冷暖</w:t>
            </w:r>
          </w:p>
        </w:tc>
      </w:tr>
      <w:tr>
        <w:tblPrEx>
          <w:tblCellMar>
            <w:top w:w="0" w:type="dxa"/>
            <w:left w:w="108" w:type="dxa"/>
            <w:bottom w:w="0" w:type="dxa"/>
            <w:right w:w="108" w:type="dxa"/>
          </w:tblCellMar>
        </w:tblPrEx>
        <w:trPr>
          <w:cantSplit/>
          <w:trHeight w:val="23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6</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能效等级</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ascii="Times New Roman" w:hAnsi="Times New Roman"/>
                <w:szCs w:val="21"/>
              </w:rPr>
            </w:pPr>
            <w:r>
              <w:rPr>
                <w:rFonts w:ascii="Times New Roman" w:hAnsi="Times New Roman"/>
                <w:szCs w:val="21"/>
              </w:rPr>
              <w:t>不低于二级</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ascii="Times New Roman" w:hAnsi="Times New Roman"/>
                <w:szCs w:val="21"/>
              </w:rPr>
            </w:pPr>
            <w:r>
              <w:rPr>
                <w:rFonts w:ascii="Times New Roman" w:hAnsi="Times New Roman"/>
                <w:szCs w:val="21"/>
              </w:rPr>
              <w:t>不低于二级</w:t>
            </w:r>
          </w:p>
        </w:tc>
      </w:tr>
      <w:tr>
        <w:tblPrEx>
          <w:tblCellMar>
            <w:top w:w="0" w:type="dxa"/>
            <w:left w:w="108" w:type="dxa"/>
            <w:bottom w:w="0" w:type="dxa"/>
            <w:right w:w="108" w:type="dxa"/>
          </w:tblCellMar>
        </w:tblPrEx>
        <w:trPr>
          <w:cantSplit/>
          <w:trHeight w:val="29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7</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电辅加热</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具有</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具有</w:t>
            </w:r>
          </w:p>
        </w:tc>
      </w:tr>
      <w:tr>
        <w:tblPrEx>
          <w:tblCellMar>
            <w:top w:w="0" w:type="dxa"/>
            <w:left w:w="108" w:type="dxa"/>
            <w:bottom w:w="0" w:type="dxa"/>
            <w:right w:w="108" w:type="dxa"/>
          </w:tblCellMar>
        </w:tblPrEx>
        <w:trPr>
          <w:cantSplit/>
          <w:trHeight w:val="30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8</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包含配</w:t>
            </w:r>
          </w:p>
          <w:p>
            <w:pPr>
              <w:pStyle w:val="13"/>
              <w:spacing w:line="360" w:lineRule="auto"/>
              <w:jc w:val="center"/>
              <w:rPr>
                <w:rFonts w:ascii="Times New Roman" w:hAnsi="Times New Roman"/>
                <w:szCs w:val="21"/>
              </w:rPr>
            </w:pPr>
            <w:r>
              <w:rPr>
                <w:rFonts w:ascii="Times New Roman" w:hAnsi="Times New Roman"/>
                <w:szCs w:val="21"/>
              </w:rPr>
              <w:t>插头\</w:t>
            </w:r>
            <w:r>
              <w:rPr>
                <w:rFonts w:ascii="宋体" w:hAnsi="宋体"/>
                <w:szCs w:val="21"/>
              </w:rPr>
              <w:t>空开</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220V</w:t>
            </w:r>
            <w:r>
              <w:rPr>
                <w:rFonts w:ascii="宋体" w:hAnsi="宋体"/>
                <w:szCs w:val="21"/>
              </w:rPr>
              <w:t>漏电保护空气开关</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380V</w:t>
            </w:r>
            <w:r>
              <w:rPr>
                <w:rFonts w:ascii="宋体" w:hAnsi="宋体"/>
                <w:szCs w:val="21"/>
              </w:rPr>
              <w:t>漏电保护空气开关</w:t>
            </w:r>
          </w:p>
        </w:tc>
      </w:tr>
      <w:tr>
        <w:tblPrEx>
          <w:tblCellMar>
            <w:top w:w="0" w:type="dxa"/>
            <w:left w:w="108" w:type="dxa"/>
            <w:bottom w:w="0" w:type="dxa"/>
            <w:right w:w="108" w:type="dxa"/>
          </w:tblCellMar>
        </w:tblPrEx>
        <w:trPr>
          <w:cantSplit/>
          <w:trHeight w:val="72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9</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包含连接管</w:t>
            </w:r>
          </w:p>
          <w:p>
            <w:pPr>
              <w:pStyle w:val="13"/>
              <w:spacing w:line="360" w:lineRule="auto"/>
              <w:jc w:val="center"/>
              <w:rPr>
                <w:rFonts w:ascii="Times New Roman" w:hAnsi="Times New Roman"/>
                <w:szCs w:val="21"/>
              </w:rPr>
            </w:pPr>
            <w:r>
              <w:rPr>
                <w:rFonts w:ascii="Times New Roman" w:hAnsi="Times New Roman"/>
                <w:szCs w:val="21"/>
              </w:rPr>
              <w:t>长度（铜管）</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hint="eastAsia" w:ascii="Times New Roman" w:hAnsi="Times New Roman"/>
                <w:szCs w:val="21"/>
                <w:lang w:val="en-US" w:eastAsia="zh-CN"/>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hint="eastAsia" w:ascii="Times New Roman" w:hAnsi="Times New Roman"/>
                <w:szCs w:val="21"/>
                <w:lang w:val="en-US" w:eastAsia="zh-CN"/>
              </w:rPr>
              <w:t>/</w:t>
            </w:r>
          </w:p>
        </w:tc>
      </w:tr>
      <w:tr>
        <w:tblPrEx>
          <w:tblCellMar>
            <w:top w:w="0" w:type="dxa"/>
            <w:left w:w="108" w:type="dxa"/>
            <w:bottom w:w="0" w:type="dxa"/>
            <w:right w:w="108" w:type="dxa"/>
          </w:tblCellMar>
        </w:tblPrEx>
        <w:trPr>
          <w:cantSplit/>
          <w:trHeight w:val="105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10</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包含水管</w:t>
            </w:r>
          </w:p>
          <w:p>
            <w:pPr>
              <w:pStyle w:val="13"/>
              <w:spacing w:line="360" w:lineRule="auto"/>
              <w:jc w:val="center"/>
              <w:rPr>
                <w:rFonts w:hint="eastAsia" w:ascii="Times New Roman" w:hAnsi="Times New Roman"/>
                <w:szCs w:val="21"/>
                <w:lang w:eastAsia="zh-CN"/>
              </w:rPr>
            </w:pPr>
            <w:r>
              <w:rPr>
                <w:rFonts w:ascii="Times New Roman" w:hAnsi="Times New Roman"/>
                <w:szCs w:val="21"/>
              </w:rPr>
              <w:t>长度</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lang w:val="en-US" w:eastAsia="zh-CN"/>
              </w:rPr>
            </w:pPr>
            <w:r>
              <w:rPr>
                <w:rFonts w:ascii="Times New Roman" w:hAnsi="Times New Roman"/>
                <w:szCs w:val="21"/>
              </w:rPr>
              <w:t>≥</w:t>
            </w:r>
            <w:r>
              <w:rPr>
                <w:rFonts w:hint="eastAsia" w:ascii="Times New Roman" w:hAnsi="Times New Roman"/>
                <w:szCs w:val="21"/>
                <w:lang w:val="en-US" w:eastAsia="zh-CN"/>
              </w:rPr>
              <w:t>5</w:t>
            </w:r>
            <w:r>
              <w:rPr>
                <w:rFonts w:ascii="Times New Roman" w:hAnsi="Times New Roman"/>
                <w:szCs w:val="21"/>
              </w:rPr>
              <w:t>米</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lang w:val="en-US" w:eastAsia="zh-CN"/>
              </w:rPr>
            </w:pPr>
            <w:r>
              <w:rPr>
                <w:rFonts w:ascii="Times New Roman" w:hAnsi="Times New Roman"/>
                <w:szCs w:val="21"/>
              </w:rPr>
              <w:t>≥</w:t>
            </w:r>
            <w:r>
              <w:rPr>
                <w:rFonts w:hint="eastAsia" w:ascii="Times New Roman" w:hAnsi="Times New Roman"/>
                <w:szCs w:val="21"/>
                <w:lang w:val="en-US" w:eastAsia="zh-CN"/>
              </w:rPr>
              <w:t>5</w:t>
            </w:r>
            <w:r>
              <w:rPr>
                <w:rFonts w:ascii="Times New Roman" w:hAnsi="Times New Roman"/>
                <w:szCs w:val="21"/>
              </w:rPr>
              <w:t>米</w:t>
            </w:r>
          </w:p>
        </w:tc>
      </w:tr>
      <w:tr>
        <w:tblPrEx>
          <w:tblCellMar>
            <w:top w:w="0" w:type="dxa"/>
            <w:left w:w="108" w:type="dxa"/>
            <w:bottom w:w="0" w:type="dxa"/>
            <w:right w:w="108" w:type="dxa"/>
          </w:tblCellMar>
        </w:tblPrEx>
        <w:trPr>
          <w:cantSplit/>
          <w:trHeight w:val="77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11</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包含电源线</w:t>
            </w:r>
          </w:p>
          <w:p>
            <w:pPr>
              <w:pStyle w:val="13"/>
              <w:spacing w:line="360" w:lineRule="auto"/>
              <w:jc w:val="center"/>
              <w:rPr>
                <w:rFonts w:ascii="Times New Roman" w:hAnsi="Times New Roman"/>
                <w:szCs w:val="21"/>
              </w:rPr>
            </w:pPr>
            <w:r>
              <w:rPr>
                <w:rFonts w:ascii="Times New Roman" w:hAnsi="Times New Roman"/>
                <w:szCs w:val="21"/>
              </w:rPr>
              <w:t>长度</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1.5米</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1.5米</w:t>
            </w:r>
          </w:p>
        </w:tc>
      </w:tr>
      <w:tr>
        <w:tblPrEx>
          <w:tblCellMar>
            <w:top w:w="0" w:type="dxa"/>
            <w:left w:w="108" w:type="dxa"/>
            <w:bottom w:w="0" w:type="dxa"/>
            <w:right w:w="108" w:type="dxa"/>
          </w:tblCellMar>
        </w:tblPrEx>
        <w:trPr>
          <w:cantSplit/>
          <w:trHeight w:val="49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12</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leftChars="0" w:right="43" w:rightChars="0"/>
              <w:jc w:val="center"/>
              <w:rPr>
                <w:rFonts w:ascii="Times New Roman" w:hAnsi="Times New Roman"/>
                <w:szCs w:val="21"/>
              </w:rPr>
            </w:pPr>
            <w:r>
              <w:rPr>
                <w:rFonts w:hint="eastAsia" w:ascii="宋体" w:hAnsi="宋体" w:eastAsia="宋体" w:cs="宋体"/>
                <w:szCs w:val="21"/>
                <w:lang w:val="en-US" w:eastAsia="zh-CN"/>
              </w:rPr>
              <w:t>是否具有变频功能</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leftChars="0" w:right="43" w:rightChars="0"/>
              <w:jc w:val="center"/>
              <w:rPr>
                <w:rFonts w:ascii="Times New Roman" w:hAnsi="Times New Roman"/>
                <w:szCs w:val="21"/>
              </w:rPr>
            </w:pPr>
            <w:r>
              <w:rPr>
                <w:rFonts w:hint="eastAsia" w:ascii="宋体" w:hAnsi="宋体" w:eastAsia="宋体" w:cs="宋体"/>
                <w:szCs w:val="21"/>
                <w:lang w:val="en-US" w:eastAsia="zh-CN"/>
              </w:rPr>
              <w:t>具有变频功能</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leftChars="0" w:right="43" w:rightChars="0"/>
              <w:jc w:val="center"/>
              <w:rPr>
                <w:rFonts w:ascii="Times New Roman" w:hAnsi="Times New Roman"/>
                <w:szCs w:val="21"/>
              </w:rPr>
            </w:pPr>
            <w:r>
              <w:rPr>
                <w:rFonts w:hint="eastAsia" w:ascii="宋体" w:hAnsi="宋体" w:eastAsia="宋体" w:cs="宋体"/>
                <w:szCs w:val="21"/>
                <w:lang w:val="en-US" w:eastAsia="zh-CN"/>
              </w:rPr>
              <w:t>具有变频功能</w:t>
            </w:r>
          </w:p>
        </w:tc>
      </w:tr>
      <w:tr>
        <w:tblPrEx>
          <w:tblCellMar>
            <w:top w:w="0" w:type="dxa"/>
            <w:left w:w="108" w:type="dxa"/>
            <w:bottom w:w="0" w:type="dxa"/>
            <w:right w:w="108" w:type="dxa"/>
          </w:tblCellMar>
        </w:tblPrEx>
        <w:trPr>
          <w:cantSplit/>
          <w:trHeight w:val="12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13</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Times New Roman" w:hAnsi="Times New Roman"/>
                <w:szCs w:val="21"/>
                <w:lang w:val="en-US" w:eastAsia="zh-CN"/>
              </w:rPr>
            </w:pPr>
            <w:r>
              <w:rPr>
                <w:rFonts w:hint="eastAsia" w:ascii="Times New Roman" w:hAnsi="Times New Roman"/>
                <w:szCs w:val="21"/>
                <w:lang w:val="en-US" w:eastAsia="zh-CN"/>
              </w:rPr>
              <w:t>采购人预计</w:t>
            </w:r>
          </w:p>
          <w:p>
            <w:pPr>
              <w:pStyle w:val="13"/>
              <w:spacing w:line="360" w:lineRule="auto"/>
              <w:jc w:val="center"/>
              <w:rPr>
                <w:rFonts w:hint="eastAsia" w:ascii="宋体" w:hAnsi="宋体" w:eastAsia="宋体" w:cs="宋体"/>
                <w:kern w:val="2"/>
                <w:sz w:val="21"/>
                <w:szCs w:val="21"/>
                <w:lang w:val="en-US" w:eastAsia="zh-CN" w:bidi="ar-SA"/>
              </w:rPr>
            </w:pPr>
            <w:r>
              <w:rPr>
                <w:rFonts w:hint="eastAsia" w:ascii="Times New Roman" w:hAnsi="Times New Roman"/>
                <w:szCs w:val="21"/>
                <w:lang w:val="en-US" w:eastAsia="zh-CN"/>
              </w:rPr>
              <w:t>采购数量（台）</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2"/>
                <w:sz w:val="21"/>
                <w:szCs w:val="21"/>
                <w:lang w:val="en-US" w:eastAsia="zh-CN" w:bidi="ar-SA"/>
              </w:rPr>
            </w:pPr>
            <w:r>
              <w:rPr>
                <w:rFonts w:hint="eastAsia" w:ascii="Times New Roman" w:hAnsi="Times New Roman" w:eastAsia="宋体" w:cs="Times New Roman"/>
                <w:i w:val="0"/>
                <w:iCs w:val="0"/>
                <w:color w:val="000000"/>
                <w:kern w:val="0"/>
                <w:sz w:val="28"/>
                <w:szCs w:val="28"/>
                <w:u w:val="none"/>
                <w:lang w:val="en-US" w:eastAsia="zh-CN" w:bidi="ar"/>
              </w:rPr>
              <w:t>5</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2"/>
                <w:sz w:val="21"/>
                <w:szCs w:val="21"/>
                <w:lang w:val="en-US" w:eastAsia="zh-CN" w:bidi="ar-SA"/>
              </w:rPr>
            </w:pPr>
            <w:r>
              <w:rPr>
                <w:rFonts w:hint="eastAsia" w:ascii="Times New Roman" w:hAnsi="Times New Roman" w:eastAsia="宋体" w:cs="Times New Roman"/>
                <w:i w:val="0"/>
                <w:iCs w:val="0"/>
                <w:color w:val="000000"/>
                <w:kern w:val="0"/>
                <w:sz w:val="28"/>
                <w:szCs w:val="28"/>
                <w:u w:val="none"/>
                <w:lang w:val="en-US" w:eastAsia="zh-CN" w:bidi="ar"/>
              </w:rPr>
              <w:t>7</w:t>
            </w:r>
          </w:p>
        </w:tc>
      </w:tr>
      <w:tr>
        <w:tblPrEx>
          <w:tblCellMar>
            <w:top w:w="0" w:type="dxa"/>
            <w:left w:w="108" w:type="dxa"/>
            <w:bottom w:w="0" w:type="dxa"/>
            <w:right w:w="108" w:type="dxa"/>
          </w:tblCellMar>
        </w:tblPrEx>
        <w:trPr>
          <w:cantSplit/>
          <w:trHeight w:val="49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14</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hint="eastAsia" w:ascii="Times New Roman" w:hAnsi="Times New Roman"/>
                <w:szCs w:val="21"/>
                <w:lang w:val="en-US" w:eastAsia="zh-CN"/>
              </w:rPr>
              <w:t>空调</w:t>
            </w:r>
            <w:r>
              <w:rPr>
                <w:rFonts w:ascii="Times New Roman" w:hAnsi="Times New Roman"/>
                <w:szCs w:val="21"/>
              </w:rPr>
              <w:t>规格</w:t>
            </w:r>
          </w:p>
          <w:p>
            <w:pPr>
              <w:pStyle w:val="13"/>
              <w:spacing w:line="360" w:lineRule="auto"/>
              <w:jc w:val="center"/>
              <w:rPr>
                <w:rFonts w:ascii="Times New Roman" w:hAnsi="Times New Roman"/>
                <w:szCs w:val="21"/>
              </w:rPr>
            </w:pPr>
            <w:r>
              <w:rPr>
                <w:rFonts w:ascii="Times New Roman" w:hAnsi="Times New Roman"/>
                <w:szCs w:val="21"/>
              </w:rPr>
              <w:t>类别</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cs="Times New Roman"/>
                <w:szCs w:val="21"/>
              </w:rPr>
            </w:pPr>
            <w:r>
              <w:rPr>
                <w:rFonts w:hint="eastAsia" w:ascii="Times New Roman" w:hAnsi="Times New Roman"/>
                <w:szCs w:val="21"/>
                <w:lang w:val="en-US" w:eastAsia="zh-CN"/>
              </w:rPr>
              <w:t>3</w:t>
            </w:r>
            <w:r>
              <w:rPr>
                <w:rFonts w:ascii="Times New Roman" w:hAnsi="Times New Roman"/>
                <w:szCs w:val="21"/>
              </w:rPr>
              <w:t>P</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cs="Times New Roman"/>
                <w:szCs w:val="21"/>
              </w:rPr>
            </w:pPr>
            <w:r>
              <w:rPr>
                <w:rFonts w:hint="eastAsia" w:ascii="Times New Roman" w:hAnsi="Times New Roman"/>
                <w:szCs w:val="21"/>
                <w:lang w:val="en-US" w:eastAsia="zh-CN"/>
              </w:rPr>
              <w:t>5</w:t>
            </w:r>
            <w:r>
              <w:rPr>
                <w:rFonts w:ascii="Times New Roman" w:hAnsi="Times New Roman"/>
                <w:szCs w:val="21"/>
              </w:rPr>
              <w:t>P</w:t>
            </w:r>
          </w:p>
        </w:tc>
      </w:tr>
      <w:tr>
        <w:tblPrEx>
          <w:tblCellMar>
            <w:top w:w="0" w:type="dxa"/>
            <w:left w:w="108" w:type="dxa"/>
            <w:bottom w:w="0" w:type="dxa"/>
            <w:right w:w="108" w:type="dxa"/>
          </w:tblCellMar>
        </w:tblPrEx>
        <w:trPr>
          <w:cantSplit/>
          <w:trHeight w:val="49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right="43"/>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Times New Roman" w:hAnsi="Times New Roman"/>
                <w:szCs w:val="21"/>
              </w:rPr>
            </w:pPr>
            <w:r>
              <w:rPr>
                <w:rFonts w:ascii="Times New Roman" w:hAnsi="Times New Roman"/>
                <w:szCs w:val="21"/>
              </w:rPr>
              <w:t>额定</w:t>
            </w:r>
          </w:p>
          <w:p>
            <w:pPr>
              <w:pStyle w:val="13"/>
              <w:spacing w:line="360" w:lineRule="auto"/>
              <w:jc w:val="center"/>
              <w:rPr>
                <w:rFonts w:hint="default" w:ascii="宋体" w:hAnsi="宋体" w:eastAsia="宋体" w:cs="宋体"/>
                <w:szCs w:val="21"/>
                <w:lang w:val="en-US" w:eastAsia="zh-CN"/>
              </w:rPr>
            </w:pPr>
            <w:r>
              <w:rPr>
                <w:rFonts w:ascii="Times New Roman" w:hAnsi="Times New Roman"/>
                <w:szCs w:val="21"/>
              </w:rPr>
              <w:t>制冷量（W</w:t>
            </w:r>
            <w:r>
              <w:rPr>
                <w:rFonts w:ascii="宋体" w:hAnsi="宋体"/>
                <w:szCs w:val="21"/>
              </w:rPr>
              <w:t>）</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宋体" w:hAnsi="宋体" w:eastAsia="宋体" w:cs="宋体"/>
                <w:szCs w:val="21"/>
              </w:rPr>
            </w:pPr>
            <w:r>
              <w:rPr>
                <w:rFonts w:ascii="Times New Roman" w:hAnsi="Times New Roman"/>
                <w:szCs w:val="21"/>
              </w:rPr>
              <w:t>7200≤</w:t>
            </w:r>
            <w:r>
              <w:rPr>
                <w:rFonts w:ascii="宋体" w:hAnsi="宋体"/>
                <w:szCs w:val="21"/>
              </w:rPr>
              <w:t>额定制冷量＜</w:t>
            </w:r>
            <w:r>
              <w:rPr>
                <w:rFonts w:ascii="Times New Roman" w:hAnsi="Times New Roman"/>
                <w:szCs w:val="21"/>
              </w:rPr>
              <w:t>12000</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ascii="宋体" w:hAnsi="宋体" w:eastAsia="宋体" w:cs="宋体"/>
                <w:szCs w:val="21"/>
              </w:rPr>
            </w:pPr>
            <w:r>
              <w:rPr>
                <w:rFonts w:ascii="Times New Roman" w:hAnsi="Times New Roman"/>
                <w:szCs w:val="21"/>
              </w:rPr>
              <w:t>额定制冷量</w:t>
            </w:r>
            <w:r>
              <w:rPr>
                <w:rFonts w:hint="eastAsia" w:ascii="Times New Roman" w:hAnsi="Times New Roman"/>
                <w:szCs w:val="21"/>
                <w:lang w:val="en-US" w:eastAsia="zh-CN"/>
              </w:rPr>
              <w:t>≥</w:t>
            </w:r>
            <w:r>
              <w:rPr>
                <w:rFonts w:ascii="Times New Roman" w:hAnsi="Times New Roman"/>
                <w:szCs w:val="21"/>
              </w:rPr>
              <w:t>12000</w:t>
            </w:r>
          </w:p>
        </w:tc>
      </w:tr>
      <w:tr>
        <w:tblPrEx>
          <w:tblCellMar>
            <w:top w:w="0" w:type="dxa"/>
            <w:left w:w="108" w:type="dxa"/>
            <w:bottom w:w="0" w:type="dxa"/>
            <w:right w:w="108" w:type="dxa"/>
          </w:tblCellMar>
        </w:tblPrEx>
        <w:trPr>
          <w:cantSplit/>
          <w:trHeight w:val="49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right="43"/>
              <w:jc w:val="center"/>
              <w:rPr>
                <w:rFonts w:hint="eastAsia" w:ascii="仿宋" w:hAnsi="仿宋" w:eastAsia="仿宋" w:cs="仿宋"/>
                <w:szCs w:val="21"/>
                <w:lang w:val="en-US" w:eastAsia="zh-CN"/>
              </w:rPr>
            </w:pPr>
            <w:r>
              <w:rPr>
                <w:rFonts w:hint="eastAsia" w:ascii="仿宋" w:hAnsi="仿宋" w:eastAsia="仿宋" w:cs="仿宋"/>
                <w:szCs w:val="21"/>
                <w:lang w:val="en-US" w:eastAsia="zh-CN"/>
              </w:rPr>
              <w:t>16</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供应商报价单台价格及具体型号</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报价单位元）</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供应商报价</w:t>
            </w:r>
          </w:p>
          <w:p>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元 /台）</w:t>
            </w:r>
          </w:p>
          <w:p>
            <w:pPr>
              <w:pStyle w:val="14"/>
              <w:spacing w:before="29" w:line="360" w:lineRule="auto"/>
              <w:ind w:left="61" w:right="43"/>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供应商报价</w:t>
            </w:r>
          </w:p>
          <w:p>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元 /台）</w:t>
            </w:r>
          </w:p>
          <w:p>
            <w:pPr>
              <w:pStyle w:val="14"/>
              <w:spacing w:before="29" w:line="360" w:lineRule="auto"/>
              <w:ind w:left="61" w:right="43"/>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w:t>
            </w:r>
          </w:p>
        </w:tc>
      </w:tr>
      <w:tr>
        <w:tblPrEx>
          <w:tblCellMar>
            <w:top w:w="0" w:type="dxa"/>
            <w:left w:w="108" w:type="dxa"/>
            <w:bottom w:w="0" w:type="dxa"/>
            <w:right w:w="108" w:type="dxa"/>
          </w:tblCellMar>
        </w:tblPrEx>
        <w:trPr>
          <w:cantSplit/>
          <w:trHeight w:val="49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right="43"/>
              <w:jc w:val="center"/>
              <w:rPr>
                <w:rFonts w:hint="eastAsia" w:ascii="仿宋" w:hAnsi="仿宋" w:eastAsia="仿宋" w:cs="仿宋"/>
                <w:szCs w:val="21"/>
                <w:lang w:val="en-US" w:eastAsia="zh-CN"/>
              </w:rPr>
            </w:pPr>
            <w:r>
              <w:rPr>
                <w:rFonts w:hint="eastAsia" w:ascii="仿宋" w:hAnsi="仿宋" w:eastAsia="仿宋" w:cs="仿宋"/>
                <w:szCs w:val="21"/>
                <w:lang w:val="en-US" w:eastAsia="zh-CN"/>
              </w:rPr>
              <w:t>17</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179" w:leftChars="0" w:right="160" w:right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增加连接管加长价</w:t>
            </w:r>
            <w:r>
              <w:rPr>
                <w:rFonts w:hint="eastAsia" w:ascii="仿宋" w:hAnsi="仿宋" w:eastAsia="仿宋" w:cs="仿宋"/>
                <w:b/>
                <w:bCs/>
                <w:w w:val="99"/>
                <w:sz w:val="24"/>
                <w:szCs w:val="24"/>
              </w:rPr>
              <w:t>格（含加长电源线）</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 米</w:t>
            </w:r>
            <w:r>
              <w:rPr>
                <w:rFonts w:hint="eastAsia" w:ascii="仿宋" w:hAnsi="仿宋" w:eastAsia="仿宋" w:cs="仿宋"/>
                <w:b/>
                <w:bCs/>
                <w:sz w:val="24"/>
                <w:szCs w:val="24"/>
                <w:lang w:val="en-US" w:eastAsia="zh-CN"/>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 米</w:t>
            </w:r>
            <w:r>
              <w:rPr>
                <w:rFonts w:hint="eastAsia" w:ascii="仿宋" w:hAnsi="仿宋" w:eastAsia="仿宋" w:cs="仿宋"/>
                <w:b/>
                <w:bCs/>
                <w:sz w:val="24"/>
                <w:szCs w:val="24"/>
                <w:lang w:val="en-US" w:eastAsia="zh-CN"/>
              </w:rPr>
              <w:t>）</w:t>
            </w:r>
          </w:p>
        </w:tc>
      </w:tr>
      <w:tr>
        <w:tblPrEx>
          <w:tblCellMar>
            <w:top w:w="0" w:type="dxa"/>
            <w:left w:w="108" w:type="dxa"/>
            <w:bottom w:w="0" w:type="dxa"/>
            <w:right w:w="108" w:type="dxa"/>
          </w:tblCellMar>
        </w:tblPrEx>
        <w:trPr>
          <w:cantSplit/>
          <w:trHeight w:val="49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right="43"/>
              <w:jc w:val="center"/>
              <w:rPr>
                <w:rFonts w:hint="eastAsia" w:ascii="仿宋" w:hAnsi="仿宋" w:eastAsia="仿宋" w:cs="仿宋"/>
                <w:szCs w:val="21"/>
                <w:lang w:val="en-US" w:eastAsia="zh-CN"/>
              </w:rPr>
            </w:pPr>
            <w:r>
              <w:rPr>
                <w:rFonts w:hint="eastAsia" w:ascii="仿宋" w:hAnsi="仿宋" w:eastAsia="仿宋" w:cs="仿宋"/>
                <w:szCs w:val="21"/>
                <w:lang w:val="en-US" w:eastAsia="zh-CN"/>
              </w:rPr>
              <w:t>18</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179"/>
              <w:jc w:val="center"/>
              <w:rPr>
                <w:rFonts w:hint="eastAsia" w:ascii="仿宋" w:hAnsi="仿宋" w:eastAsia="仿宋" w:cs="仿宋"/>
                <w:b/>
                <w:bCs/>
                <w:sz w:val="24"/>
                <w:szCs w:val="24"/>
              </w:rPr>
            </w:pPr>
            <w:r>
              <w:rPr>
                <w:rFonts w:hint="eastAsia" w:ascii="仿宋" w:hAnsi="仿宋" w:eastAsia="仿宋" w:cs="仿宋"/>
                <w:b/>
                <w:bCs/>
                <w:w w:val="95"/>
                <w:sz w:val="24"/>
                <w:szCs w:val="24"/>
              </w:rPr>
              <w:t>增加墙体</w:t>
            </w:r>
          </w:p>
          <w:p>
            <w:pPr>
              <w:pStyle w:val="13"/>
              <w:spacing w:line="36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w w:val="95"/>
                <w:sz w:val="24"/>
                <w:szCs w:val="24"/>
              </w:rPr>
              <w:t>开孔价格</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leftChars="0" w:right="43" w:right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元/ </w:t>
            </w:r>
            <w:r>
              <w:rPr>
                <w:rFonts w:hint="eastAsia" w:ascii="仿宋" w:hAnsi="仿宋" w:eastAsia="仿宋" w:cs="仿宋"/>
                <w:b/>
                <w:bCs/>
                <w:sz w:val="24"/>
                <w:szCs w:val="24"/>
                <w:lang w:eastAsia="zh-CN"/>
              </w:rPr>
              <w:t>个</w:t>
            </w:r>
            <w:r>
              <w:rPr>
                <w:rFonts w:hint="eastAsia" w:ascii="仿宋" w:hAnsi="仿宋" w:eastAsia="仿宋" w:cs="仿宋"/>
                <w:b/>
                <w:bCs/>
                <w:sz w:val="24"/>
                <w:szCs w:val="24"/>
                <w:lang w:val="en-US" w:eastAsia="zh-CN"/>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pStyle w:val="14"/>
              <w:spacing w:before="29" w:line="360" w:lineRule="auto"/>
              <w:ind w:left="61" w:leftChars="0" w:right="43" w:right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元/ </w:t>
            </w:r>
            <w:r>
              <w:rPr>
                <w:rFonts w:hint="eastAsia" w:ascii="仿宋" w:hAnsi="仿宋" w:eastAsia="仿宋" w:cs="仿宋"/>
                <w:b/>
                <w:bCs/>
                <w:sz w:val="24"/>
                <w:szCs w:val="24"/>
                <w:lang w:val="en-US" w:eastAsia="zh-CN"/>
              </w:rPr>
              <w:t>个）</w:t>
            </w:r>
          </w:p>
        </w:tc>
      </w:tr>
    </w:tbl>
    <w:p>
      <w:pPr>
        <w:pStyle w:val="7"/>
        <w:pageBreakBefore w:val="0"/>
        <w:kinsoku/>
        <w:wordWrap/>
        <w:overflowPunct/>
        <w:topLinePunct w:val="0"/>
        <w:autoSpaceDE/>
        <w:autoSpaceDN/>
        <w:bidi w:val="0"/>
        <w:snapToGrid/>
        <w:spacing w:line="480" w:lineRule="exact"/>
        <w:rPr>
          <w:rFonts w:ascii="仿宋" w:hAnsi="仿宋" w:eastAsia="仿宋" w:cs="仿宋"/>
          <w:b/>
          <w:sz w:val="28"/>
          <w:szCs w:val="28"/>
        </w:rPr>
      </w:pPr>
      <w:r>
        <w:rPr>
          <w:rFonts w:hint="eastAsia" w:ascii="仿宋" w:hAnsi="仿宋" w:eastAsia="仿宋" w:cs="仿宋"/>
          <w:b/>
          <w:sz w:val="28"/>
          <w:szCs w:val="28"/>
        </w:rPr>
        <w:t>备注：</w:t>
      </w:r>
    </w:p>
    <w:p>
      <w:pPr>
        <w:pStyle w:val="7"/>
        <w:pageBreakBefore w:val="0"/>
        <w:kinsoku/>
        <w:wordWrap/>
        <w:overflowPunct/>
        <w:topLinePunct w:val="0"/>
        <w:autoSpaceDE/>
        <w:autoSpaceDN/>
        <w:bidi w:val="0"/>
        <w:snapToGrid/>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供应商所报的报价应是完成该项目的全部内容的价格体现。应包括供应商为完成本项目的全部工作须支付或发生的一切所需费用（包括货物、货物损耗、仓储、包装、运输、配送、人工服务、税费、售后及其他各类费用等）和拟获得的利润。供应商报价应充分考虑合同履行期内各种费用、市场风险、价格波动、承担义务和付款条件等。</w:t>
      </w:r>
    </w:p>
    <w:p>
      <w:pPr>
        <w:pStyle w:val="11"/>
        <w:ind w:firstLine="562" w:firstLineChars="200"/>
        <w:rPr>
          <w:rFonts w:hint="eastAsia" w:eastAsia="仿宋"/>
          <w:lang w:val="en-US" w:eastAsia="zh-CN"/>
        </w:rPr>
      </w:pPr>
      <w:r>
        <w:rPr>
          <w:rFonts w:hint="eastAsia" w:ascii="仿宋" w:hAnsi="仿宋" w:eastAsia="仿宋" w:cs="仿宋"/>
          <w:b/>
          <w:color w:val="FF0000"/>
          <w:kern w:val="2"/>
          <w:sz w:val="28"/>
          <w:szCs w:val="28"/>
          <w:lang w:val="en-US" w:eastAsia="zh-CN" w:bidi="ar-SA"/>
        </w:rPr>
        <w:t>2、供应商报价货物需提供国家确定的认证机构出具的、处于有效期之内的节能产品认证证书，否则报价无效。</w:t>
      </w:r>
    </w:p>
    <w:p>
      <w:pPr>
        <w:pStyle w:val="7"/>
        <w:pageBreakBefore w:val="0"/>
        <w:kinsoku/>
        <w:wordWrap/>
        <w:overflowPunct/>
        <w:topLinePunct w:val="0"/>
        <w:autoSpaceDE/>
        <w:autoSpaceDN/>
        <w:bidi w:val="0"/>
        <w:snapToGrid/>
        <w:spacing w:line="480" w:lineRule="exact"/>
        <w:ind w:firstLine="562" w:firstLineChars="200"/>
        <w:rPr>
          <w:rFonts w:hint="eastAsia" w:ascii="仿宋" w:hAnsi="仿宋" w:eastAsia="仿宋" w:cs="仿宋"/>
          <w:b/>
          <w:bCs/>
          <w:sz w:val="28"/>
          <w:szCs w:val="28"/>
        </w:rPr>
      </w:pPr>
      <w:bookmarkStart w:id="1" w:name="_Toc114235946"/>
      <w:bookmarkStart w:id="2" w:name="_Toc120093994"/>
      <w:r>
        <w:rPr>
          <w:rFonts w:hint="eastAsia" w:ascii="仿宋" w:hAnsi="仿宋" w:eastAsia="仿宋" w:cs="仿宋"/>
          <w:b/>
          <w:bCs/>
          <w:sz w:val="28"/>
          <w:szCs w:val="28"/>
          <w:lang w:val="en-US" w:eastAsia="zh-CN"/>
        </w:rPr>
        <w:t>四、技术</w:t>
      </w:r>
      <w:r>
        <w:rPr>
          <w:rFonts w:hint="eastAsia" w:ascii="仿宋" w:hAnsi="仿宋" w:eastAsia="仿宋" w:cs="仿宋"/>
          <w:b/>
          <w:bCs/>
          <w:sz w:val="28"/>
          <w:szCs w:val="28"/>
        </w:rPr>
        <w:t>要求</w:t>
      </w:r>
      <w:bookmarkEnd w:id="1"/>
      <w:bookmarkEnd w:id="2"/>
      <w:bookmarkStart w:id="3" w:name="_Toc114235947"/>
      <w:bookmarkStart w:id="4" w:name="_Toc120093995"/>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（一）货物质量技术要求</w:t>
      </w:r>
      <w:bookmarkEnd w:id="3"/>
      <w:bookmarkEnd w:id="4"/>
    </w:p>
    <w:p>
      <w:pPr>
        <w:pStyle w:val="7"/>
        <w:pageBreakBefore w:val="0"/>
        <w:numPr>
          <w:ilvl w:val="0"/>
          <w:numId w:val="0"/>
        </w:numPr>
        <w:tabs>
          <w:tab w:val="left" w:pos="0"/>
        </w:tabs>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1、供应商所提供的货物应等于或优于采购清单一览表中的货物技术参数要求。</w:t>
      </w:r>
      <w:r>
        <w:rPr>
          <w:rFonts w:hint="eastAsia" w:ascii="仿宋" w:hAnsi="仿宋" w:eastAsia="仿宋" w:cs="仿宋"/>
          <w:sz w:val="28"/>
          <w:szCs w:val="28"/>
        </w:rPr>
        <w:t>若询价文件中的技术要求无明确说明，则按国家有关部门及生产企业最新颁布的要求为准。</w:t>
      </w:r>
    </w:p>
    <w:p>
      <w:pPr>
        <w:pStyle w:val="7"/>
        <w:pageBreakBefore w:val="0"/>
        <w:numPr>
          <w:ilvl w:val="0"/>
          <w:numId w:val="0"/>
        </w:numPr>
        <w:tabs>
          <w:tab w:val="left" w:pos="0"/>
        </w:tabs>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所提供的货物须是全新、未使用过的厂家合格正品，不得提供拆封机、样品机、翻新机等。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本项目提供的空调货物应均为原厂原装机型，不得提供二次拼装机型，空调的内外机组应为同一品牌，若供应商提供非原厂原装机视为供应商虚假响应。</w:t>
      </w:r>
    </w:p>
    <w:p>
      <w:pPr>
        <w:pStyle w:val="7"/>
        <w:pageBreakBefore w:val="0"/>
        <w:numPr>
          <w:ilvl w:val="0"/>
          <w:numId w:val="0"/>
        </w:numPr>
        <w:tabs>
          <w:tab w:val="left" w:pos="0"/>
        </w:tabs>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提供的货物，除去原机附带安装材料外，按采购人的安装需求，还需增加额外安装材料的，供应商应对现场需增加安装材料进行测量，并填写安装材料增加明细，交采购人核实，经采购人核实签字后方可实施安装，所有增加安装材料应与原厂包含材料质量、性能一致并提供与原机附带材料相应的售后服务。</w:t>
      </w:r>
    </w:p>
    <w:p>
      <w:pPr>
        <w:pStyle w:val="7"/>
        <w:pageBreakBefore w:val="0"/>
        <w:numPr>
          <w:ilvl w:val="0"/>
          <w:numId w:val="0"/>
        </w:numPr>
        <w:tabs>
          <w:tab w:val="left" w:pos="0"/>
        </w:tabs>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供应商按采购人的使用需求确定安装空调的位置，现场安装位置不满足安装条件的，应与采购人协商调整安装位置。空调安装后的排水管路布局应合理，空调排水应排至就近的排水管道及排水沟渠，保证货物能在采购人现有条件下稳定正常使用，且不会对采购人其它设施设备的使用造成影响</w:t>
      </w:r>
      <w:r>
        <w:rPr>
          <w:rFonts w:hint="eastAsia" w:ascii="仿宋" w:hAnsi="仿宋" w:eastAsia="仿宋" w:cs="仿宋"/>
          <w:sz w:val="28"/>
          <w:szCs w:val="28"/>
        </w:rPr>
        <w:t>。</w:t>
      </w:r>
      <w:bookmarkStart w:id="5" w:name="_Toc120093996"/>
      <w:bookmarkStart w:id="6" w:name="_Toc114235948"/>
    </w:p>
    <w:p>
      <w:pPr>
        <w:pStyle w:val="7"/>
        <w:pageBreakBefore w:val="0"/>
        <w:numPr>
          <w:ilvl w:val="0"/>
          <w:numId w:val="0"/>
        </w:numPr>
        <w:tabs>
          <w:tab w:val="left" w:pos="0"/>
        </w:tabs>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服务技术要求：</w:t>
      </w:r>
      <w:bookmarkEnd w:id="5"/>
      <w:bookmarkEnd w:id="6"/>
    </w:p>
    <w:p>
      <w:pPr>
        <w:pStyle w:val="7"/>
        <w:pageBreakBefore w:val="0"/>
        <w:kinsoku/>
        <w:wordWrap/>
        <w:overflowPunct/>
        <w:topLinePunct w:val="0"/>
        <w:autoSpaceDE/>
        <w:autoSpaceDN/>
        <w:bidi w:val="0"/>
        <w:snapToGrid/>
        <w:spacing w:line="480" w:lineRule="exact"/>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rPr>
        <w:t>1、</w:t>
      </w:r>
      <w:r>
        <w:rPr>
          <w:rFonts w:hint="eastAsia" w:ascii="仿宋" w:hAnsi="仿宋" w:eastAsia="仿宋" w:cs="仿宋"/>
          <w:sz w:val="28"/>
          <w:szCs w:val="28"/>
        </w:rPr>
        <w:t>本项目为交钥匙工程，</w:t>
      </w:r>
      <w:r>
        <w:rPr>
          <w:rFonts w:hint="eastAsia" w:ascii="仿宋" w:hAnsi="仿宋" w:eastAsia="仿宋" w:cs="仿宋"/>
          <w:sz w:val="28"/>
          <w:szCs w:val="28"/>
          <w:lang w:val="en-US" w:eastAsia="zh-CN"/>
        </w:rPr>
        <w:t>每台空调</w:t>
      </w:r>
      <w:r>
        <w:rPr>
          <w:rFonts w:hint="eastAsia" w:ascii="仿宋" w:hAnsi="仿宋" w:eastAsia="仿宋" w:cs="仿宋"/>
          <w:kern w:val="0"/>
          <w:sz w:val="28"/>
          <w:szCs w:val="28"/>
        </w:rPr>
        <w:t>供应商</w:t>
      </w:r>
      <w:r>
        <w:rPr>
          <w:rFonts w:hint="eastAsia" w:ascii="仿宋" w:hAnsi="仿宋" w:eastAsia="仿宋" w:cs="仿宋"/>
          <w:kern w:val="0"/>
          <w:sz w:val="28"/>
          <w:szCs w:val="28"/>
          <w:lang w:val="en-US" w:eastAsia="zh-CN"/>
        </w:rPr>
        <w:t>接采购人通知后</w:t>
      </w:r>
      <w:r>
        <w:rPr>
          <w:rFonts w:hint="eastAsia" w:ascii="仿宋" w:hAnsi="仿宋" w:eastAsia="仿宋" w:cs="仿宋"/>
          <w:kern w:val="0"/>
          <w:sz w:val="28"/>
          <w:szCs w:val="28"/>
        </w:rPr>
        <w:t>至采购人</w:t>
      </w:r>
      <w:r>
        <w:rPr>
          <w:rFonts w:hint="eastAsia" w:ascii="仿宋" w:hAnsi="仿宋" w:eastAsia="仿宋" w:cs="仿宋"/>
          <w:kern w:val="0"/>
          <w:sz w:val="28"/>
          <w:szCs w:val="28"/>
          <w:lang w:val="en-US" w:eastAsia="zh-CN"/>
        </w:rPr>
        <w:t>院内指定</w:t>
      </w:r>
      <w:r>
        <w:rPr>
          <w:rFonts w:hint="eastAsia" w:ascii="仿宋" w:hAnsi="仿宋" w:eastAsia="仿宋" w:cs="仿宋"/>
          <w:kern w:val="0"/>
          <w:sz w:val="28"/>
          <w:szCs w:val="28"/>
        </w:rPr>
        <w:t>地点</w:t>
      </w:r>
      <w:r>
        <w:rPr>
          <w:rFonts w:hint="eastAsia" w:ascii="仿宋" w:hAnsi="仿宋" w:eastAsia="仿宋" w:cs="仿宋"/>
          <w:kern w:val="0"/>
          <w:sz w:val="28"/>
          <w:szCs w:val="28"/>
          <w:lang w:val="en-US" w:eastAsia="zh-CN"/>
        </w:rPr>
        <w:t>完成该空调的安装调试</w:t>
      </w:r>
      <w:r>
        <w:rPr>
          <w:rFonts w:hint="eastAsia" w:ascii="仿宋" w:hAnsi="仿宋" w:eastAsia="仿宋" w:cs="仿宋"/>
          <w:kern w:val="0"/>
          <w:sz w:val="28"/>
          <w:szCs w:val="28"/>
        </w:rPr>
        <w:t>，并满足采购人正常使用需求。</w:t>
      </w:r>
      <w:r>
        <w:rPr>
          <w:rFonts w:hint="eastAsia" w:ascii="仿宋" w:hAnsi="仿宋" w:eastAsia="仿宋" w:cs="仿宋"/>
          <w:kern w:val="0"/>
          <w:sz w:val="28"/>
          <w:szCs w:val="28"/>
          <w:lang w:val="en-US" w:eastAsia="zh-CN"/>
        </w:rPr>
        <w:t>有旧机拆除的，则新空调安装完毕后，供应商将旧空调搬运至采购人库房。</w:t>
      </w:r>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、供应商应将货物送到采购人指定的院内</w:t>
      </w:r>
      <w:r>
        <w:rPr>
          <w:rFonts w:hint="eastAsia" w:ascii="仿宋" w:hAnsi="仿宋" w:eastAsia="仿宋" w:cs="仿宋"/>
          <w:sz w:val="28"/>
          <w:szCs w:val="28"/>
          <w:lang w:val="en-US" w:eastAsia="zh-CN"/>
        </w:rPr>
        <w:t>库房后</w:t>
      </w:r>
      <w:r>
        <w:rPr>
          <w:rFonts w:hint="eastAsia" w:ascii="仿宋" w:hAnsi="仿宋" w:eastAsia="仿宋" w:cs="仿宋"/>
          <w:sz w:val="28"/>
          <w:szCs w:val="28"/>
        </w:rPr>
        <w:t>，应接受采购人验货，并交付货物</w:t>
      </w:r>
      <w:r>
        <w:rPr>
          <w:rFonts w:hint="eastAsia" w:ascii="仿宋" w:hAnsi="仿宋" w:eastAsia="仿宋" w:cs="仿宋"/>
          <w:sz w:val="28"/>
          <w:szCs w:val="28"/>
          <w:lang w:val="en-US" w:eastAsia="zh-CN"/>
        </w:rPr>
        <w:t>的送货明细清单，及销售凭证。成交供应商接采购人通知后，到采购人指定地点完成货物安装并提供</w:t>
      </w:r>
      <w:r>
        <w:rPr>
          <w:rFonts w:hint="eastAsia" w:ascii="仿宋" w:hAnsi="仿宋" w:eastAsia="仿宋" w:cs="仿宋"/>
          <w:sz w:val="28"/>
          <w:szCs w:val="28"/>
        </w:rPr>
        <w:t>合格证、说明书、遥控器、保修卡及销售单据</w:t>
      </w:r>
      <w:r>
        <w:rPr>
          <w:rFonts w:hint="eastAsia" w:ascii="仿宋" w:hAnsi="仿宋" w:eastAsia="仿宋" w:cs="仿宋"/>
          <w:sz w:val="28"/>
          <w:szCs w:val="28"/>
          <w:lang w:val="en-US" w:eastAsia="zh-CN"/>
        </w:rPr>
        <w:t>交于采购人职能部门</w:t>
      </w:r>
      <w:r>
        <w:rPr>
          <w:rFonts w:hint="eastAsia" w:ascii="仿宋" w:hAnsi="仿宋" w:eastAsia="仿宋" w:cs="仿宋"/>
          <w:sz w:val="28"/>
          <w:szCs w:val="28"/>
        </w:rPr>
        <w:t>。销售单据所记录的数据应与实际供货的品名、规格型号、数量、单价、金额等一致。货物验收时双方填写验收记录单据，验收记录单据应当由采购人签字认可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货物的质保期由成交供应商每完成一台空调算起</w:t>
      </w:r>
      <w:r>
        <w:rPr>
          <w:rFonts w:hint="eastAsia" w:ascii="仿宋" w:hAnsi="仿宋" w:eastAsia="仿宋" w:cs="仿宋"/>
          <w:sz w:val="28"/>
          <w:szCs w:val="28"/>
        </w:rPr>
        <w:t>。</w:t>
      </w:r>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须有专人负责与采购人业务接洽，接洽人员应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货发到配送站或快递点</w:t>
      </w:r>
      <w:r>
        <w:rPr>
          <w:rFonts w:hint="eastAsia" w:ascii="仿宋" w:hAnsi="仿宋" w:eastAsia="仿宋" w:cs="仿宋"/>
          <w:sz w:val="28"/>
          <w:szCs w:val="28"/>
          <w:lang w:val="en-US" w:eastAsia="zh-CN"/>
        </w:rPr>
        <w:t>后</w:t>
      </w:r>
      <w:r>
        <w:rPr>
          <w:rFonts w:hint="eastAsia" w:ascii="仿宋" w:hAnsi="仿宋" w:eastAsia="仿宋" w:cs="仿宋"/>
          <w:sz w:val="28"/>
          <w:szCs w:val="28"/>
        </w:rPr>
        <w:t>，让采购人自己负责联系配送站配送及后续收货工作，在院内苦等配送站工作人员，造成工作时间浪费。）未提供全流程服务视为供应商违约。供应商除接洽人员外，提供至少2名专门负责采购人业务的技术人员负责货物安装、调试、培训、维保、售后等服务，技术人员应相对固定。供应商不得随意变更接洽人员、技术人员。</w:t>
      </w:r>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供应商负责</w:t>
      </w:r>
      <w:r>
        <w:rPr>
          <w:rFonts w:hint="eastAsia" w:ascii="仿宋" w:hAnsi="仿宋" w:eastAsia="仿宋" w:cs="仿宋"/>
          <w:sz w:val="28"/>
          <w:szCs w:val="28"/>
        </w:rPr>
        <w:t>货物的资产管理标签填写，填写内容包括品名、规格、安装日期，保修生效和截止日期，所属科室，使用人员，并将资产管理标签内容和货物说明书，保修卡移交至采购人职能科室完成对采购人货物使用人员的简单培训，令其能掌握货物的正确操作和使用方法。</w:t>
      </w:r>
    </w:p>
    <w:p>
      <w:pPr>
        <w:pStyle w:val="15"/>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5、供应商提供合同履约期间货物会计数据统计工作，每次以电子文档形式将所有配送货物的时间、品名、规格、数量、单价、金额、所属科室等数据发送至采购人相关工作人员存档。</w:t>
      </w:r>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提供因货物故障或质量问题产生的上门维修服务或货物退换服务。</w:t>
      </w:r>
    </w:p>
    <w:p>
      <w:pPr>
        <w:pStyle w:val="11"/>
        <w:pageBreakBefore w:val="0"/>
        <w:widowControl/>
        <w:kinsoku/>
        <w:wordWrap/>
        <w:overflowPunct/>
        <w:topLinePunct w:val="0"/>
        <w:autoSpaceDE/>
        <w:autoSpaceDN/>
        <w:bidi w:val="0"/>
        <w:snapToGri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、供应商需要根据采购人的</w:t>
      </w:r>
      <w:r>
        <w:rPr>
          <w:rFonts w:hint="eastAsia" w:ascii="仿宋" w:hAnsi="仿宋" w:eastAsia="仿宋" w:cs="仿宋"/>
          <w:sz w:val="28"/>
          <w:szCs w:val="28"/>
          <w:lang w:val="en-US" w:eastAsia="zh-CN"/>
        </w:rPr>
        <w:t>通知</w:t>
      </w:r>
      <w:r>
        <w:rPr>
          <w:rFonts w:hint="eastAsia" w:ascii="仿宋" w:hAnsi="仿宋" w:eastAsia="仿宋" w:cs="仿宋"/>
          <w:sz w:val="28"/>
          <w:szCs w:val="28"/>
        </w:rPr>
        <w:t>做好货物的备品工作，确保货源稳定，不能断供。</w:t>
      </w:r>
    </w:p>
    <w:p>
      <w:pPr>
        <w:pStyle w:val="7"/>
        <w:pageBreakBefore w:val="0"/>
        <w:kinsoku/>
        <w:wordWrap/>
        <w:overflowPunct/>
        <w:topLinePunct w:val="0"/>
        <w:autoSpaceDE/>
        <w:autoSpaceDN/>
        <w:bidi w:val="0"/>
        <w:snapToGrid/>
        <w:spacing w:line="480" w:lineRule="exact"/>
        <w:ind w:firstLine="560"/>
        <w:rPr>
          <w:rFonts w:hint="eastAsia" w:ascii="仿宋" w:hAnsi="仿宋" w:eastAsia="仿宋" w:cs="仿宋"/>
          <w:strike/>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、供应商提供服务时，应到采购人指定的院内地点和采购人指定人员对接，按采购人工作人员诉求</w:t>
      </w:r>
      <w:r>
        <w:rPr>
          <w:rFonts w:hint="eastAsia" w:ascii="仿宋" w:hAnsi="仿宋" w:eastAsia="仿宋" w:cs="仿宋"/>
          <w:sz w:val="28"/>
          <w:szCs w:val="28"/>
          <w:lang w:val="en-US" w:eastAsia="zh-CN"/>
        </w:rPr>
        <w:t>及时</w:t>
      </w:r>
      <w:r>
        <w:rPr>
          <w:rFonts w:hint="eastAsia" w:ascii="仿宋" w:hAnsi="仿宋" w:eastAsia="仿宋" w:cs="仿宋"/>
          <w:sz w:val="28"/>
          <w:szCs w:val="28"/>
        </w:rPr>
        <w:t>提供服务，供应商在履约过程中，不得引起</w:t>
      </w:r>
      <w:r>
        <w:rPr>
          <w:rFonts w:hint="eastAsia" w:ascii="仿宋" w:hAnsi="仿宋" w:eastAsia="仿宋" w:cs="仿宋"/>
          <w:sz w:val="28"/>
          <w:szCs w:val="28"/>
          <w:lang w:val="en-US" w:eastAsia="zh-CN"/>
        </w:rPr>
        <w:t>就诊者和</w:t>
      </w:r>
      <w:r>
        <w:rPr>
          <w:rFonts w:hint="eastAsia" w:ascii="仿宋" w:hAnsi="仿宋" w:eastAsia="仿宋" w:cs="仿宋"/>
          <w:sz w:val="28"/>
          <w:szCs w:val="28"/>
        </w:rPr>
        <w:t>采购人工作人员投诉，经采购人核实确为供应商原因造成的投诉，视为供应商违约。每次服务完毕，供应商应提供服务内容清单由采购人工作人员签字确认，并向采购人派工人员反馈服务结果。</w:t>
      </w:r>
    </w:p>
    <w:p>
      <w:pPr>
        <w:pStyle w:val="11"/>
        <w:pageBreakBefore w:val="0"/>
        <w:widowControl/>
        <w:kinsoku/>
        <w:wordWrap/>
        <w:overflowPunct/>
        <w:topLinePunct w:val="0"/>
        <w:autoSpaceDE/>
        <w:autoSpaceDN/>
        <w:bidi w:val="0"/>
        <w:snapToGri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、供应商在项目实施过程中知晓或获取的采购人商业秘密、知识产权、信息、资料、数据等，应履行保密义务，妥善保管，不得泄漏、传播、牟利等，否则承担违约责任。</w:t>
      </w:r>
    </w:p>
    <w:p>
      <w:pPr>
        <w:pStyle w:val="15"/>
        <w:pageBreakBefore w:val="0"/>
        <w:kinsoku/>
        <w:wordWrap/>
        <w:overflowPunct/>
        <w:topLinePunct w:val="0"/>
        <w:autoSpaceDE/>
        <w:autoSpaceDN/>
        <w:bidi w:val="0"/>
        <w:snapToGrid/>
        <w:spacing w:line="480" w:lineRule="exact"/>
        <w:ind w:left="420" w:left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五、商务要求</w:t>
      </w:r>
    </w:p>
    <w:p>
      <w:pPr>
        <w:pStyle w:val="11"/>
        <w:pageBreakBefore w:val="0"/>
        <w:kinsoku/>
        <w:wordWrap/>
        <w:overflowPunct/>
        <w:topLinePunct w:val="0"/>
        <w:autoSpaceDE/>
        <w:autoSpaceDN/>
        <w:bidi w:val="0"/>
        <w:snapToGrid/>
        <w:spacing w:line="480" w:lineRule="exact"/>
        <w:ind w:left="630" w:leftChars="300"/>
        <w:rPr>
          <w:rFonts w:hint="eastAsia" w:ascii="仿宋" w:hAnsi="仿宋" w:eastAsia="仿宋" w:cs="仿宋"/>
          <w:sz w:val="28"/>
          <w:szCs w:val="28"/>
        </w:rPr>
      </w:pPr>
      <w:r>
        <w:rPr>
          <w:rFonts w:hint="eastAsia" w:ascii="仿宋" w:hAnsi="仿宋" w:eastAsia="仿宋" w:cs="仿宋"/>
          <w:sz w:val="28"/>
          <w:szCs w:val="28"/>
        </w:rPr>
        <w:t>（一）合同的履行期限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自合同签订之日起18个月止或货物采购金额</w:t>
      </w:r>
      <w:r>
        <w:rPr>
          <w:rFonts w:hint="eastAsia" w:ascii="仿宋" w:hAnsi="仿宋" w:eastAsia="仿宋" w:cs="仿宋"/>
          <w:color w:val="auto"/>
          <w:sz w:val="28"/>
          <w:szCs w:val="28"/>
          <w:highlight w:val="none"/>
          <w:lang w:val="en-US" w:eastAsia="zh-CN"/>
        </w:rPr>
        <w:t>达到项目成交总金额止</w:t>
      </w:r>
      <w:r>
        <w:rPr>
          <w:rFonts w:hint="eastAsia" w:ascii="仿宋" w:hAnsi="仿宋" w:eastAsia="仿宋" w:cs="仿宋"/>
          <w:sz w:val="28"/>
          <w:szCs w:val="28"/>
        </w:rPr>
        <w:t>。</w:t>
      </w:r>
    </w:p>
    <w:p>
      <w:pPr>
        <w:pStyle w:val="11"/>
        <w:pageBreakBefore w:val="0"/>
        <w:kinsoku/>
        <w:wordWrap/>
        <w:overflowPunct/>
        <w:topLinePunct w:val="0"/>
        <w:autoSpaceDE/>
        <w:autoSpaceDN/>
        <w:bidi w:val="0"/>
        <w:snapToGrid/>
        <w:spacing w:line="480" w:lineRule="exact"/>
        <w:ind w:left="630" w:leftChars="300"/>
        <w:rPr>
          <w:rFonts w:hint="eastAsia" w:ascii="仿宋" w:hAnsi="仿宋" w:eastAsia="仿宋" w:cs="仿宋"/>
          <w:sz w:val="28"/>
          <w:szCs w:val="28"/>
        </w:rPr>
      </w:pPr>
      <w:r>
        <w:rPr>
          <w:rFonts w:hint="eastAsia" w:ascii="仿宋" w:hAnsi="仿宋" w:eastAsia="仿宋" w:cs="仿宋"/>
          <w:sz w:val="28"/>
          <w:szCs w:val="28"/>
        </w:rPr>
        <w:t>（二）项目履行地点：大竹县人民医院院内指定地点。</w:t>
      </w:r>
    </w:p>
    <w:p>
      <w:pPr>
        <w:pStyle w:val="7"/>
        <w:pageBreakBefore w:val="0"/>
        <w:kinsoku/>
        <w:wordWrap/>
        <w:overflowPunct/>
        <w:topLinePunct w:val="0"/>
        <w:autoSpaceDE/>
        <w:autoSpaceDN/>
        <w:bidi w:val="0"/>
        <w:snapToGrid/>
        <w:spacing w:line="480" w:lineRule="exact"/>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7"/>
        <w:keepNext w:val="0"/>
        <w:keepLines w:val="0"/>
        <w:pageBreakBefore w:val="0"/>
        <w:kinsoku/>
        <w:wordWrap/>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合同履行期间，本项目采购总金额在达到项目成交总金额前，成交供应商每提供一批次货物，并将</w:t>
      </w:r>
      <w:r>
        <w:rPr>
          <w:rFonts w:hint="eastAsia" w:ascii="仿宋" w:hAnsi="仿宋" w:eastAsia="仿宋" w:cs="仿宋"/>
          <w:color w:val="auto"/>
          <w:sz w:val="28"/>
          <w:szCs w:val="28"/>
          <w:highlight w:val="none"/>
        </w:rPr>
        <w:t>合同履约期间货物会计数据统计</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电子</w:t>
      </w:r>
      <w:r>
        <w:rPr>
          <w:rFonts w:hint="eastAsia" w:ascii="仿宋" w:hAnsi="仿宋" w:eastAsia="仿宋" w:cs="仿宋"/>
          <w:color w:val="auto"/>
          <w:sz w:val="28"/>
          <w:szCs w:val="28"/>
          <w:highlight w:val="none"/>
          <w:lang w:val="en-US" w:eastAsia="zh-CN"/>
        </w:rPr>
        <w:t>文档给</w:t>
      </w:r>
      <w:r>
        <w:rPr>
          <w:rFonts w:hint="eastAsia" w:ascii="仿宋" w:hAnsi="仿宋" w:eastAsia="仿宋" w:cs="仿宋"/>
          <w:color w:val="auto"/>
          <w:sz w:val="28"/>
          <w:szCs w:val="28"/>
          <w:highlight w:val="none"/>
        </w:rPr>
        <w:t>采购人存档。</w:t>
      </w:r>
      <w:r>
        <w:rPr>
          <w:rFonts w:hint="eastAsia" w:ascii="仿宋" w:hAnsi="仿宋" w:eastAsia="仿宋" w:cs="仿宋"/>
          <w:color w:val="auto"/>
          <w:sz w:val="28"/>
          <w:szCs w:val="28"/>
          <w:highlight w:val="none"/>
          <w:lang w:val="en-US" w:eastAsia="zh-CN"/>
        </w:rPr>
        <w:t>采购人根据成交供应商提供的当批次货物的数量型号进行结算。</w:t>
      </w:r>
    </w:p>
    <w:p>
      <w:pPr>
        <w:keepNext w:val="0"/>
        <w:keepLines w:val="0"/>
        <w:pageBreakBefore w:val="0"/>
        <w:kinsoku/>
        <w:wordWrap/>
        <w:overflowPunct/>
        <w:topLinePunct w:val="0"/>
        <w:autoSpaceDE/>
        <w:autoSpaceDN/>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2、采购人采用银行转账方式付款，采购人付款前，</w:t>
      </w:r>
      <w:r>
        <w:rPr>
          <w:rFonts w:hint="eastAsia" w:ascii="仿宋" w:hAnsi="仿宋" w:eastAsia="仿宋" w:cs="仿宋"/>
          <w:color w:val="auto"/>
          <w:sz w:val="28"/>
          <w:szCs w:val="28"/>
          <w:highlight w:val="none"/>
          <w:lang w:eastAsia="zh-CN"/>
        </w:rPr>
        <w:t>成交供应商</w:t>
      </w:r>
      <w:r>
        <w:rPr>
          <w:rFonts w:hint="eastAsia" w:ascii="仿宋" w:hAnsi="仿宋" w:eastAsia="仿宋" w:cs="仿宋"/>
          <w:color w:val="auto"/>
          <w:sz w:val="28"/>
          <w:szCs w:val="28"/>
          <w:highlight w:val="none"/>
        </w:rPr>
        <w:t>必须提供</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核对签字的</w:t>
      </w:r>
      <w:r>
        <w:rPr>
          <w:rFonts w:hint="eastAsia" w:ascii="仿宋" w:hAnsi="仿宋" w:eastAsia="仿宋" w:cs="仿宋"/>
          <w:color w:val="auto"/>
          <w:sz w:val="28"/>
          <w:szCs w:val="28"/>
          <w:highlight w:val="none"/>
          <w:lang w:val="en-US" w:eastAsia="zh-CN"/>
        </w:rPr>
        <w:t>各项单据并整理清晰</w:t>
      </w:r>
      <w:r>
        <w:rPr>
          <w:rFonts w:hint="eastAsia" w:ascii="仿宋" w:hAnsi="仿宋" w:eastAsia="仿宋" w:cs="仿宋"/>
          <w:color w:val="auto"/>
          <w:sz w:val="28"/>
          <w:szCs w:val="28"/>
          <w:highlight w:val="none"/>
          <w:lang w:eastAsia="zh-CN"/>
        </w:rPr>
        <w:t>，成交供应商</w:t>
      </w:r>
      <w:r>
        <w:rPr>
          <w:rFonts w:hint="eastAsia" w:ascii="仿宋" w:hAnsi="仿宋" w:eastAsia="仿宋" w:cs="仿宋"/>
          <w:color w:val="auto"/>
          <w:sz w:val="28"/>
          <w:szCs w:val="28"/>
          <w:highlight w:val="none"/>
        </w:rPr>
        <w:t>必须出具</w:t>
      </w:r>
      <w:r>
        <w:rPr>
          <w:rFonts w:hint="eastAsia" w:ascii="仿宋" w:hAnsi="仿宋" w:eastAsia="仿宋" w:cs="仿宋"/>
          <w:color w:val="auto"/>
          <w:sz w:val="28"/>
          <w:szCs w:val="28"/>
          <w:highlight w:val="none"/>
          <w:lang w:val="en-US" w:eastAsia="zh-CN"/>
        </w:rPr>
        <w:t>详细、清楚的销货清单和</w:t>
      </w:r>
      <w:r>
        <w:rPr>
          <w:rFonts w:hint="eastAsia" w:ascii="仿宋" w:hAnsi="仿宋" w:eastAsia="仿宋" w:cs="仿宋"/>
          <w:color w:val="auto"/>
          <w:sz w:val="28"/>
          <w:szCs w:val="28"/>
          <w:highlight w:val="none"/>
        </w:rPr>
        <w:t>国家认可的</w:t>
      </w:r>
      <w:r>
        <w:rPr>
          <w:rFonts w:hint="eastAsia" w:ascii="仿宋" w:hAnsi="仿宋" w:eastAsia="仿宋" w:cs="仿宋"/>
          <w:color w:val="auto"/>
          <w:sz w:val="28"/>
          <w:szCs w:val="28"/>
          <w:highlight w:val="none"/>
          <w:lang w:val="en-US" w:eastAsia="zh-CN"/>
        </w:rPr>
        <w:t>足额</w:t>
      </w:r>
      <w:r>
        <w:rPr>
          <w:rFonts w:hint="eastAsia" w:ascii="仿宋" w:hAnsi="仿宋" w:eastAsia="仿宋" w:cs="仿宋"/>
          <w:color w:val="auto"/>
          <w:sz w:val="28"/>
          <w:szCs w:val="28"/>
          <w:highlight w:val="none"/>
        </w:rPr>
        <w:t>有效发票，否则采购人有权拒绝付款。</w:t>
      </w:r>
    </w:p>
    <w:p>
      <w:pPr>
        <w:pStyle w:val="11"/>
        <w:pageBreakBefore w:val="0"/>
        <w:kinsoku/>
        <w:wordWrap/>
        <w:overflowPunct/>
        <w:topLinePunct w:val="0"/>
        <w:autoSpaceDE/>
        <w:autoSpaceDN/>
        <w:bidi w:val="0"/>
        <w:snapToGri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3、采购人在收到成交供应商前款所述有效票据后，</w:t>
      </w:r>
      <w:r>
        <w:rPr>
          <w:rFonts w:hint="eastAsia" w:ascii="仿宋" w:hAnsi="仿宋" w:eastAsia="仿宋" w:cs="仿宋"/>
          <w:sz w:val="28"/>
          <w:szCs w:val="28"/>
          <w:lang w:val="en-US" w:eastAsia="zh-CN"/>
        </w:rPr>
        <w:t>60</w:t>
      </w:r>
      <w:r>
        <w:rPr>
          <w:rFonts w:hint="eastAsia" w:ascii="仿宋" w:hAnsi="仿宋" w:eastAsia="仿宋" w:cs="仿宋"/>
          <w:sz w:val="28"/>
          <w:szCs w:val="28"/>
        </w:rPr>
        <w:t>日内转账支付成交供应商该批次货款。</w:t>
      </w:r>
    </w:p>
    <w:p>
      <w:pPr>
        <w:pStyle w:val="11"/>
        <w:pageBreakBefore w:val="0"/>
        <w:kinsoku/>
        <w:wordWrap/>
        <w:overflowPunct/>
        <w:topLinePunct w:val="0"/>
        <w:autoSpaceDE/>
        <w:autoSpaceDN/>
        <w:bidi w:val="0"/>
        <w:snapToGri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号）和《政府采购需求管理办法》（财库[2021]22 号）的要求、以及采购文件要求组织开展验收工作。</w:t>
      </w:r>
    </w:p>
    <w:p>
      <w:pPr>
        <w:pStyle w:val="7"/>
        <w:pageBreakBefore w:val="0"/>
        <w:kinsoku/>
        <w:wordWrap/>
        <w:overflowPunct/>
        <w:topLinePunct w:val="0"/>
        <w:autoSpaceDE/>
        <w:autoSpaceDN/>
        <w:bidi w:val="0"/>
        <w:snapToGrid/>
        <w:spacing w:line="480" w:lineRule="exact"/>
        <w:ind w:left="630" w:leftChars="300"/>
        <w:rPr>
          <w:rFonts w:hint="eastAsia" w:ascii="仿宋" w:hAnsi="仿宋" w:eastAsia="仿宋" w:cs="仿宋"/>
          <w:sz w:val="28"/>
          <w:szCs w:val="28"/>
        </w:rPr>
      </w:pPr>
      <w:r>
        <w:rPr>
          <w:rFonts w:hint="eastAsia" w:ascii="仿宋" w:hAnsi="仿宋" w:eastAsia="仿宋" w:cs="仿宋"/>
          <w:sz w:val="28"/>
          <w:szCs w:val="28"/>
        </w:rPr>
        <w:t>（四）售后服务要求</w:t>
      </w:r>
    </w:p>
    <w:p>
      <w:pPr>
        <w:pStyle w:val="7"/>
        <w:pageBreakBefore w:val="0"/>
        <w:kinsoku/>
        <w:wordWrap/>
        <w:overflowPunct/>
        <w:topLinePunct w:val="0"/>
        <w:autoSpaceDE/>
        <w:autoSpaceDN/>
        <w:bidi w:val="0"/>
        <w:snapToGrid/>
        <w:spacing w:line="48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质保期内，成交供应商接采购人</w:t>
      </w:r>
      <w:r>
        <w:rPr>
          <w:rFonts w:hint="eastAsia" w:ascii="仿宋" w:hAnsi="仿宋" w:eastAsia="仿宋" w:cs="仿宋"/>
          <w:color w:val="auto"/>
          <w:sz w:val="28"/>
          <w:szCs w:val="28"/>
        </w:rPr>
        <w:t>空调故障报修后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成交供应商应在24小时内完成售后维修服务，空调维修人员到达采购人地点的时间不超过行业标准，维修人员到现场后</w:t>
      </w:r>
      <w:r>
        <w:rPr>
          <w:rFonts w:hint="eastAsia" w:ascii="仿宋" w:hAnsi="仿宋" w:eastAsia="仿宋" w:cs="仿宋"/>
          <w:color w:val="auto"/>
          <w:sz w:val="28"/>
          <w:szCs w:val="28"/>
        </w:rPr>
        <w:t>如果空调故障</w:t>
      </w:r>
      <w:r>
        <w:rPr>
          <w:rFonts w:hint="eastAsia" w:ascii="仿宋" w:hAnsi="仿宋" w:eastAsia="仿宋" w:cs="仿宋"/>
          <w:color w:val="auto"/>
          <w:sz w:val="28"/>
          <w:szCs w:val="28"/>
          <w:lang w:val="en-US" w:eastAsia="zh-CN"/>
        </w:rPr>
        <w:t>24小时内</w:t>
      </w:r>
      <w:r>
        <w:rPr>
          <w:rFonts w:hint="eastAsia" w:ascii="仿宋" w:hAnsi="仿宋" w:eastAsia="仿宋" w:cs="仿宋"/>
          <w:color w:val="auto"/>
          <w:sz w:val="28"/>
          <w:szCs w:val="28"/>
        </w:rPr>
        <w:t>不能修复的，供应商</w:t>
      </w:r>
      <w:r>
        <w:rPr>
          <w:rFonts w:hint="eastAsia" w:ascii="仿宋" w:hAnsi="仿宋" w:eastAsia="仿宋" w:cs="仿宋"/>
          <w:color w:val="auto"/>
          <w:sz w:val="28"/>
          <w:szCs w:val="28"/>
          <w:lang w:val="en-US" w:eastAsia="zh-CN"/>
        </w:rPr>
        <w:t>及时</w:t>
      </w:r>
      <w:r>
        <w:rPr>
          <w:rFonts w:hint="eastAsia" w:ascii="仿宋" w:hAnsi="仿宋" w:eastAsia="仿宋" w:cs="仿宋"/>
          <w:color w:val="auto"/>
          <w:sz w:val="28"/>
          <w:szCs w:val="28"/>
        </w:rPr>
        <w:t>提供空调备机暂时替换</w:t>
      </w:r>
      <w:r>
        <w:rPr>
          <w:rFonts w:hint="eastAsia" w:ascii="仿宋" w:hAnsi="仿宋" w:eastAsia="仿宋" w:cs="仿宋"/>
          <w:color w:val="auto"/>
          <w:sz w:val="28"/>
          <w:szCs w:val="28"/>
          <w:lang w:val="en-US" w:eastAsia="zh-CN"/>
        </w:rPr>
        <w:t>至</w:t>
      </w:r>
      <w:r>
        <w:rPr>
          <w:rFonts w:hint="eastAsia" w:ascii="仿宋" w:hAnsi="仿宋" w:eastAsia="仿宋" w:cs="仿宋"/>
          <w:color w:val="auto"/>
          <w:sz w:val="28"/>
          <w:szCs w:val="28"/>
        </w:rPr>
        <w:t>故障机维修</w:t>
      </w:r>
      <w:r>
        <w:rPr>
          <w:rFonts w:hint="eastAsia" w:ascii="仿宋" w:hAnsi="仿宋" w:eastAsia="仿宋" w:cs="仿宋"/>
          <w:color w:val="auto"/>
          <w:sz w:val="28"/>
          <w:szCs w:val="28"/>
          <w:lang w:val="en-US" w:eastAsia="zh-CN"/>
        </w:rPr>
        <w:t>完毕</w:t>
      </w:r>
      <w:r>
        <w:rPr>
          <w:rFonts w:hint="eastAsia" w:ascii="仿宋" w:hAnsi="仿宋" w:eastAsia="仿宋" w:cs="仿宋"/>
          <w:color w:val="auto"/>
          <w:sz w:val="28"/>
          <w:szCs w:val="28"/>
        </w:rPr>
        <w:t>。</w:t>
      </w:r>
    </w:p>
    <w:p>
      <w:pPr>
        <w:pStyle w:val="15"/>
        <w:spacing w:line="480" w:lineRule="exact"/>
        <w:ind w:firstLine="280" w:firstLineChars="100"/>
        <w:rPr>
          <w:rFonts w:hint="eastAsia"/>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rPr>
        <w:t>、成交供应商</w:t>
      </w:r>
      <w:r>
        <w:rPr>
          <w:rFonts w:hint="eastAsia" w:ascii="仿宋" w:hAnsi="仿宋" w:eastAsia="仿宋" w:cs="仿宋"/>
          <w:sz w:val="28"/>
          <w:szCs w:val="28"/>
          <w:lang w:val="en-US" w:eastAsia="zh-CN"/>
        </w:rPr>
        <w:t>三包期</w:t>
      </w:r>
      <w:r>
        <w:rPr>
          <w:rFonts w:hint="eastAsia" w:ascii="仿宋" w:hAnsi="仿宋" w:eastAsia="仿宋" w:cs="仿宋"/>
          <w:sz w:val="28"/>
          <w:szCs w:val="28"/>
        </w:rPr>
        <w:t>内同一</w:t>
      </w:r>
      <w:r>
        <w:rPr>
          <w:rFonts w:hint="eastAsia" w:ascii="仿宋" w:hAnsi="仿宋" w:eastAsia="仿宋" w:cs="仿宋"/>
          <w:sz w:val="28"/>
          <w:szCs w:val="28"/>
          <w:lang w:val="en-US" w:eastAsia="zh-CN"/>
        </w:rPr>
        <w:t>货物</w:t>
      </w:r>
      <w:r>
        <w:rPr>
          <w:rFonts w:hint="eastAsia" w:ascii="仿宋" w:hAnsi="仿宋" w:eastAsia="仿宋" w:cs="仿宋"/>
          <w:sz w:val="28"/>
          <w:szCs w:val="28"/>
        </w:rPr>
        <w:t>、同一质量问题连续两次维修仍无法正常使用的，须更换</w:t>
      </w:r>
      <w:r>
        <w:rPr>
          <w:rFonts w:hint="eastAsia" w:ascii="仿宋" w:hAnsi="仿宋" w:eastAsia="仿宋" w:cs="仿宋"/>
          <w:sz w:val="28"/>
          <w:szCs w:val="28"/>
          <w:lang w:val="en-US" w:eastAsia="zh-CN"/>
        </w:rPr>
        <w:t>可正常使用的</w:t>
      </w:r>
      <w:r>
        <w:rPr>
          <w:rFonts w:hint="eastAsia" w:ascii="仿宋" w:hAnsi="仿宋" w:eastAsia="仿宋" w:cs="仿宋"/>
          <w:sz w:val="28"/>
          <w:szCs w:val="28"/>
        </w:rPr>
        <w:t>新</w:t>
      </w:r>
      <w:r>
        <w:rPr>
          <w:rFonts w:hint="eastAsia" w:ascii="仿宋" w:hAnsi="仿宋" w:eastAsia="仿宋" w:cs="仿宋"/>
          <w:sz w:val="28"/>
          <w:szCs w:val="28"/>
          <w:lang w:val="en-US" w:eastAsia="zh-CN"/>
        </w:rPr>
        <w:t>货物</w:t>
      </w:r>
      <w:r>
        <w:rPr>
          <w:rFonts w:hint="eastAsia" w:ascii="仿宋" w:hAnsi="仿宋" w:eastAsia="仿宋" w:cs="仿宋"/>
          <w:sz w:val="28"/>
          <w:szCs w:val="28"/>
        </w:rPr>
        <w:t>，并对</w:t>
      </w:r>
      <w:r>
        <w:rPr>
          <w:rFonts w:hint="eastAsia" w:ascii="仿宋" w:hAnsi="仿宋" w:eastAsia="仿宋" w:cs="仿宋"/>
          <w:sz w:val="28"/>
          <w:szCs w:val="28"/>
          <w:lang w:val="en-US" w:eastAsia="zh-CN"/>
        </w:rPr>
        <w:t>该货物</w:t>
      </w:r>
      <w:r>
        <w:rPr>
          <w:rFonts w:hint="eastAsia" w:ascii="仿宋" w:hAnsi="仿宋" w:eastAsia="仿宋" w:cs="仿宋"/>
          <w:sz w:val="28"/>
          <w:szCs w:val="28"/>
        </w:rPr>
        <w:t>质量</w:t>
      </w:r>
      <w:r>
        <w:rPr>
          <w:rFonts w:hint="eastAsia" w:ascii="仿宋" w:hAnsi="仿宋" w:eastAsia="仿宋" w:cs="仿宋"/>
          <w:sz w:val="28"/>
          <w:szCs w:val="28"/>
          <w:lang w:val="en-US" w:eastAsia="zh-CN"/>
        </w:rPr>
        <w:t>继续</w:t>
      </w:r>
      <w:r>
        <w:rPr>
          <w:rFonts w:hint="eastAsia" w:ascii="仿宋" w:hAnsi="仿宋" w:eastAsia="仿宋" w:cs="仿宋"/>
          <w:sz w:val="28"/>
          <w:szCs w:val="28"/>
        </w:rPr>
        <w:t>实行“三包”服务。</w:t>
      </w:r>
    </w:p>
    <w:p>
      <w:pPr>
        <w:pStyle w:val="7"/>
        <w:pageBreakBefore w:val="0"/>
        <w:kinsoku/>
        <w:wordWrap/>
        <w:overflowPunct/>
        <w:topLinePunct w:val="0"/>
        <w:autoSpaceDE/>
        <w:autoSpaceDN/>
        <w:bidi w:val="0"/>
        <w:snapToGrid/>
        <w:spacing w:line="480" w:lineRule="exact"/>
        <w:ind w:firstLine="57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pPr>
        <w:pStyle w:val="7"/>
        <w:pageBreakBefore w:val="0"/>
        <w:kinsoku/>
        <w:wordWrap/>
        <w:overflowPunct/>
        <w:topLinePunct w:val="0"/>
        <w:autoSpaceDE/>
        <w:autoSpaceDN/>
        <w:bidi w:val="0"/>
        <w:snapToGrid/>
        <w:spacing w:line="480" w:lineRule="exact"/>
        <w:rPr>
          <w:rFonts w:hint="eastAsia" w:ascii="仿宋" w:hAnsi="仿宋" w:eastAsia="仿宋" w:cs="仿宋"/>
          <w:b/>
          <w:sz w:val="28"/>
          <w:szCs w:val="28"/>
        </w:rPr>
      </w:pPr>
      <w:r>
        <w:rPr>
          <w:rFonts w:hint="eastAsia" w:ascii="仿宋" w:hAnsi="仿宋" w:eastAsia="仿宋" w:cs="仿宋"/>
          <w:sz w:val="28"/>
          <w:szCs w:val="28"/>
        </w:rPr>
        <w:t xml:space="preserve">   （五）违约责任</w:t>
      </w:r>
    </w:p>
    <w:p>
      <w:pPr>
        <w:pStyle w:val="11"/>
        <w:pageBreakBefore w:val="0"/>
        <w:kinsoku/>
        <w:wordWrap/>
        <w:overflowPunct/>
        <w:topLinePunct w:val="0"/>
        <w:autoSpaceDE/>
        <w:autoSpaceDN/>
        <w:bidi w:val="0"/>
        <w:adjustRightInd w:val="0"/>
        <w:snapToGrid/>
        <w:spacing w:line="480" w:lineRule="exact"/>
        <w:ind w:firstLine="560" w:firstLineChars="200"/>
        <w:jc w:val="left"/>
        <w:textAlignment w:val="baseline"/>
        <w:rPr>
          <w:rFonts w:hint="eastAsia" w:ascii="仿宋" w:hAnsi="仿宋" w:eastAsia="仿宋" w:cs="仿宋"/>
          <w:bCs/>
          <w:sz w:val="28"/>
          <w:szCs w:val="28"/>
        </w:rPr>
      </w:pPr>
      <w:r>
        <w:rPr>
          <w:rFonts w:hint="eastAsia" w:ascii="仿宋" w:hAnsi="仿宋" w:eastAsia="仿宋" w:cs="仿宋"/>
          <w:bCs/>
          <w:sz w:val="28"/>
          <w:szCs w:val="28"/>
        </w:rPr>
        <w:t>1、供应商必须严格按照国家</w:t>
      </w:r>
      <w:r>
        <w:rPr>
          <w:rFonts w:hint="eastAsia" w:ascii="仿宋" w:hAnsi="仿宋" w:eastAsia="仿宋" w:cs="仿宋"/>
          <w:bCs/>
          <w:sz w:val="28"/>
          <w:szCs w:val="28"/>
          <w:lang w:val="en-US" w:eastAsia="zh-CN"/>
        </w:rPr>
        <w:t>政府采购法律法规、民法典合同编等</w:t>
      </w:r>
      <w:r>
        <w:rPr>
          <w:rFonts w:hint="eastAsia" w:ascii="仿宋" w:hAnsi="仿宋" w:eastAsia="仿宋" w:cs="仿宋"/>
          <w:bCs/>
          <w:sz w:val="28"/>
          <w:szCs w:val="28"/>
        </w:rPr>
        <w:t>法律法规和本询价文件要求及供应商提交的响应文件约定履行合同，按时全面履行本项目的各项义务，供应商不履行本项目义务或瑕疵履行本项目义务或延迟履行本项目义务或履行合同义务不能实现合同目的的，则成交供应商违约。</w:t>
      </w:r>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有下列情形之一的成交供应商违约行为，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hint="eastAsia" w:ascii="仿宋" w:hAnsi="仿宋" w:eastAsia="仿宋" w:cs="仿宋"/>
          <w:bCs/>
          <w:sz w:val="28"/>
          <w:szCs w:val="28"/>
        </w:rPr>
        <w:t>支付赔偿金全额赔偿采购人损失。</w:t>
      </w:r>
    </w:p>
    <w:p>
      <w:pPr>
        <w:pStyle w:val="11"/>
        <w:pageBreakBefore w:val="0"/>
        <w:tabs>
          <w:tab w:val="left" w:pos="0"/>
        </w:tabs>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（1）项目履行期限内，成交供应商明确表示或者以自己的行为表明不履行本项目合同的主要义务，则成交供应商违约，成交供应商应向采购人支付合同总价款</w:t>
      </w:r>
      <w:r>
        <w:rPr>
          <w:rFonts w:hint="eastAsia" w:ascii="仿宋" w:hAnsi="仿宋" w:eastAsia="仿宋" w:cs="仿宋"/>
          <w:sz w:val="28"/>
          <w:szCs w:val="28"/>
          <w:lang w:val="en-US" w:eastAsia="zh-CN"/>
        </w:rPr>
        <w:t>2</w:t>
      </w:r>
      <w:r>
        <w:rPr>
          <w:rFonts w:hint="eastAsia" w:ascii="仿宋" w:hAnsi="仿宋" w:eastAsia="仿宋" w:cs="仿宋"/>
          <w:sz w:val="28"/>
          <w:szCs w:val="28"/>
        </w:rPr>
        <w:t>0%的违约金。</w:t>
      </w:r>
    </w:p>
    <w:p>
      <w:pPr>
        <w:pStyle w:val="7"/>
        <w:pageBreakBefore w:val="0"/>
        <w:kinsoku/>
        <w:wordWrap/>
        <w:overflowPunct/>
        <w:topLinePunct w:val="0"/>
        <w:autoSpaceDE/>
        <w:autoSpaceDN/>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（2）成交供应商所供的货物与询价文件要求或</w:t>
      </w:r>
      <w:r>
        <w:rPr>
          <w:rFonts w:hint="eastAsia" w:ascii="仿宋" w:hAnsi="仿宋" w:eastAsia="仿宋" w:cs="仿宋"/>
          <w:sz w:val="28"/>
          <w:szCs w:val="28"/>
          <w:lang w:val="en-US" w:eastAsia="zh-CN"/>
        </w:rPr>
        <w:t>合同</w:t>
      </w:r>
      <w:r>
        <w:rPr>
          <w:rFonts w:hint="eastAsia" w:ascii="仿宋" w:hAnsi="仿宋" w:eastAsia="仿宋" w:cs="仿宋"/>
          <w:sz w:val="28"/>
          <w:szCs w:val="28"/>
        </w:rPr>
        <w:t>不符的，视为供应商违约。每发生一次该行为，采购人有权扣除成交供应商货款</w:t>
      </w:r>
      <w:r>
        <w:rPr>
          <w:rFonts w:hint="eastAsia" w:ascii="仿宋" w:hAnsi="仿宋" w:eastAsia="仿宋" w:cs="仿宋"/>
          <w:sz w:val="28"/>
          <w:szCs w:val="28"/>
          <w:lang w:val="en-US" w:eastAsia="zh-CN"/>
        </w:rPr>
        <w:t>10</w:t>
      </w:r>
      <w:r>
        <w:rPr>
          <w:rFonts w:hint="eastAsia" w:ascii="仿宋" w:hAnsi="仿宋" w:eastAsia="仿宋" w:cs="仿宋"/>
          <w:sz w:val="28"/>
          <w:szCs w:val="28"/>
        </w:rPr>
        <w:t>00元，一个采购年度内成交供应商出现</w:t>
      </w:r>
      <w:r>
        <w:rPr>
          <w:rFonts w:hint="eastAsia" w:ascii="仿宋" w:hAnsi="仿宋" w:eastAsia="仿宋" w:cs="仿宋"/>
          <w:sz w:val="28"/>
          <w:szCs w:val="28"/>
          <w:lang w:val="en-US" w:eastAsia="zh-CN"/>
        </w:rPr>
        <w:t>3</w:t>
      </w:r>
      <w:r>
        <w:rPr>
          <w:rFonts w:hint="eastAsia" w:ascii="仿宋" w:hAnsi="仿宋" w:eastAsia="仿宋" w:cs="仿宋"/>
          <w:sz w:val="28"/>
          <w:szCs w:val="28"/>
        </w:rPr>
        <w:t>次本款所列违约行为，则成交供应商违约，成交供应商应向采购人支付合同总价款</w:t>
      </w:r>
      <w:r>
        <w:rPr>
          <w:rFonts w:hint="eastAsia" w:ascii="仿宋" w:hAnsi="仿宋" w:eastAsia="仿宋" w:cs="仿宋"/>
          <w:sz w:val="28"/>
          <w:szCs w:val="28"/>
          <w:lang w:val="en-US" w:eastAsia="zh-CN"/>
        </w:rPr>
        <w:t>1</w:t>
      </w:r>
      <w:r>
        <w:rPr>
          <w:rFonts w:hint="eastAsia" w:ascii="仿宋" w:hAnsi="仿宋" w:eastAsia="仿宋" w:cs="仿宋"/>
          <w:sz w:val="28"/>
          <w:szCs w:val="28"/>
        </w:rPr>
        <w:t>0%的违约金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同时</w:t>
      </w:r>
      <w:r>
        <w:rPr>
          <w:rFonts w:hint="eastAsia" w:ascii="仿宋" w:hAnsi="仿宋" w:eastAsia="仿宋" w:cs="仿宋"/>
          <w:sz w:val="28"/>
          <w:szCs w:val="28"/>
        </w:rPr>
        <w:t>采购人有权解除合同。</w:t>
      </w:r>
    </w:p>
    <w:p>
      <w:pPr>
        <w:pStyle w:val="7"/>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）成交供应商所供的</w:t>
      </w:r>
      <w:r>
        <w:rPr>
          <w:rFonts w:hint="eastAsia" w:ascii="仿宋" w:hAnsi="仿宋" w:eastAsia="仿宋" w:cs="仿宋"/>
          <w:sz w:val="28"/>
          <w:szCs w:val="28"/>
          <w:lang w:val="en-US" w:eastAsia="zh-CN"/>
        </w:rPr>
        <w:t>服务</w:t>
      </w:r>
      <w:r>
        <w:rPr>
          <w:rFonts w:hint="eastAsia" w:ascii="仿宋" w:hAnsi="仿宋" w:eastAsia="仿宋" w:cs="仿宋"/>
          <w:sz w:val="28"/>
          <w:szCs w:val="28"/>
        </w:rPr>
        <w:t>与询价文件要求或</w:t>
      </w:r>
      <w:r>
        <w:rPr>
          <w:rFonts w:hint="eastAsia" w:ascii="仿宋" w:hAnsi="仿宋" w:eastAsia="仿宋" w:cs="仿宋"/>
          <w:sz w:val="28"/>
          <w:szCs w:val="28"/>
          <w:lang w:val="en-US" w:eastAsia="zh-CN"/>
        </w:rPr>
        <w:t>合同</w:t>
      </w:r>
      <w:r>
        <w:rPr>
          <w:rFonts w:hint="eastAsia" w:ascii="仿宋" w:hAnsi="仿宋" w:eastAsia="仿宋" w:cs="仿宋"/>
          <w:sz w:val="28"/>
          <w:szCs w:val="28"/>
        </w:rPr>
        <w:t>不符的，视为供应商违约。每发生一次该行为，采购人有权扣除成交供应商货款</w:t>
      </w:r>
      <w:r>
        <w:rPr>
          <w:rFonts w:hint="eastAsia" w:ascii="仿宋" w:hAnsi="仿宋" w:eastAsia="仿宋" w:cs="仿宋"/>
          <w:sz w:val="28"/>
          <w:szCs w:val="28"/>
          <w:lang w:val="en-US" w:eastAsia="zh-CN"/>
        </w:rPr>
        <w:t>5</w:t>
      </w:r>
      <w:r>
        <w:rPr>
          <w:rFonts w:hint="eastAsia" w:ascii="仿宋" w:hAnsi="仿宋" w:eastAsia="仿宋" w:cs="仿宋"/>
          <w:sz w:val="28"/>
          <w:szCs w:val="28"/>
        </w:rPr>
        <w:t>00元，一个采购年度内成交供应商出现</w:t>
      </w:r>
      <w:r>
        <w:rPr>
          <w:rFonts w:hint="eastAsia" w:ascii="仿宋" w:hAnsi="仿宋" w:eastAsia="仿宋" w:cs="仿宋"/>
          <w:sz w:val="28"/>
          <w:szCs w:val="28"/>
          <w:lang w:val="en-US" w:eastAsia="zh-CN"/>
        </w:rPr>
        <w:t>3</w:t>
      </w:r>
      <w:r>
        <w:rPr>
          <w:rFonts w:hint="eastAsia" w:ascii="仿宋" w:hAnsi="仿宋" w:eastAsia="仿宋" w:cs="仿宋"/>
          <w:sz w:val="28"/>
          <w:szCs w:val="28"/>
        </w:rPr>
        <w:t>次本款所列违约行为，则成交供应商违约，成交供应商应向采购人支付合同总价款</w:t>
      </w:r>
      <w:r>
        <w:rPr>
          <w:rFonts w:hint="eastAsia" w:ascii="仿宋" w:hAnsi="仿宋" w:eastAsia="仿宋" w:cs="仿宋"/>
          <w:sz w:val="28"/>
          <w:szCs w:val="28"/>
          <w:lang w:val="en-US" w:eastAsia="zh-CN"/>
        </w:rPr>
        <w:t>1</w:t>
      </w:r>
      <w:r>
        <w:rPr>
          <w:rFonts w:hint="eastAsia" w:ascii="仿宋" w:hAnsi="仿宋" w:eastAsia="仿宋" w:cs="仿宋"/>
          <w:sz w:val="28"/>
          <w:szCs w:val="28"/>
        </w:rPr>
        <w:t>0%的违约金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同时</w:t>
      </w:r>
      <w:r>
        <w:rPr>
          <w:rFonts w:hint="eastAsia" w:ascii="仿宋" w:hAnsi="仿宋" w:eastAsia="仿宋" w:cs="仿宋"/>
          <w:sz w:val="28"/>
          <w:szCs w:val="28"/>
        </w:rPr>
        <w:t>采购人有权解除合同。</w:t>
      </w:r>
    </w:p>
    <w:p>
      <w:pPr>
        <w:pStyle w:val="7"/>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成交供应商提供货物或服务过程中，引发采购人就医人员或采购人单位员工投诉的，经采购人核实为供应商造成的，</w:t>
      </w:r>
      <w:r>
        <w:rPr>
          <w:rFonts w:hint="eastAsia" w:ascii="仿宋" w:hAnsi="仿宋" w:eastAsia="仿宋" w:cs="仿宋"/>
          <w:color w:val="auto"/>
          <w:sz w:val="28"/>
          <w:szCs w:val="28"/>
        </w:rPr>
        <w:t>视为供应商违约。每发生一次该行为，采购人有权扣除成交供应商货款</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00元</w:t>
      </w:r>
      <w:r>
        <w:rPr>
          <w:rFonts w:hint="eastAsia" w:ascii="仿宋" w:hAnsi="仿宋" w:eastAsia="仿宋" w:cs="仿宋"/>
          <w:sz w:val="28"/>
          <w:szCs w:val="28"/>
        </w:rPr>
        <w:t>，一个采购年度内成交供应商出现</w:t>
      </w:r>
      <w:r>
        <w:rPr>
          <w:rFonts w:hint="eastAsia" w:ascii="仿宋" w:hAnsi="仿宋" w:eastAsia="仿宋" w:cs="仿宋"/>
          <w:sz w:val="28"/>
          <w:szCs w:val="28"/>
          <w:lang w:val="en-US" w:eastAsia="zh-CN"/>
        </w:rPr>
        <w:t>2</w:t>
      </w:r>
      <w:r>
        <w:rPr>
          <w:rFonts w:hint="eastAsia" w:ascii="仿宋" w:hAnsi="仿宋" w:eastAsia="仿宋" w:cs="仿宋"/>
          <w:sz w:val="28"/>
          <w:szCs w:val="28"/>
        </w:rPr>
        <w:t>次本款所列违约行为，则成交供应商违约，成交供应商应向采购人支付合同总价款</w:t>
      </w:r>
      <w:r>
        <w:rPr>
          <w:rFonts w:hint="eastAsia" w:ascii="仿宋" w:hAnsi="仿宋" w:eastAsia="仿宋" w:cs="仿宋"/>
          <w:sz w:val="28"/>
          <w:szCs w:val="28"/>
          <w:lang w:val="en-US" w:eastAsia="zh-CN"/>
        </w:rPr>
        <w:t>1</w:t>
      </w:r>
      <w:r>
        <w:rPr>
          <w:rFonts w:hint="eastAsia" w:ascii="仿宋" w:hAnsi="仿宋" w:eastAsia="仿宋" w:cs="仿宋"/>
          <w:sz w:val="28"/>
          <w:szCs w:val="28"/>
        </w:rPr>
        <w:t>0%的违约金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同时</w:t>
      </w:r>
      <w:r>
        <w:rPr>
          <w:rFonts w:hint="eastAsia" w:ascii="仿宋" w:hAnsi="仿宋" w:eastAsia="仿宋" w:cs="仿宋"/>
          <w:sz w:val="28"/>
          <w:szCs w:val="28"/>
        </w:rPr>
        <w:t>采购人有权解除合同。</w:t>
      </w:r>
    </w:p>
    <w:p>
      <w:pPr>
        <w:pStyle w:val="7"/>
        <w:spacing w:line="480" w:lineRule="exact"/>
        <w:ind w:firstLine="560" w:firstLineChars="200"/>
        <w:rPr>
          <w:rFonts w:hint="eastAsia"/>
        </w:rPr>
      </w:pPr>
      <w:r>
        <w:rPr>
          <w:rFonts w:hint="eastAsia" w:ascii="仿宋" w:hAnsi="仿宋" w:eastAsia="仿宋" w:cs="仿宋"/>
          <w:b w:val="0"/>
          <w:color w:val="auto"/>
          <w:kern w:val="2"/>
          <w:sz w:val="28"/>
          <w:szCs w:val="28"/>
          <w:lang w:val="en-US" w:eastAsia="zh-CN" w:bidi="ar-SA"/>
        </w:rPr>
        <w:t>（5）若供应商接采购人通知后未按</w:t>
      </w:r>
      <w:r>
        <w:rPr>
          <w:rFonts w:hint="eastAsia" w:ascii="仿宋" w:hAnsi="仿宋" w:eastAsia="仿宋" w:cs="仿宋"/>
          <w:color w:val="auto"/>
          <w:sz w:val="28"/>
          <w:szCs w:val="28"/>
        </w:rPr>
        <w:t>询价文件要求或</w:t>
      </w:r>
      <w:r>
        <w:rPr>
          <w:rFonts w:hint="eastAsia" w:ascii="仿宋" w:hAnsi="仿宋" w:eastAsia="仿宋" w:cs="仿宋"/>
          <w:color w:val="auto"/>
          <w:sz w:val="28"/>
          <w:szCs w:val="28"/>
          <w:lang w:val="en-US" w:eastAsia="zh-CN"/>
        </w:rPr>
        <w:t>合同约定</w:t>
      </w:r>
      <w:r>
        <w:rPr>
          <w:rFonts w:hint="eastAsia" w:ascii="仿宋" w:hAnsi="仿宋" w:eastAsia="仿宋" w:cs="仿宋"/>
          <w:b w:val="0"/>
          <w:color w:val="auto"/>
          <w:kern w:val="2"/>
          <w:sz w:val="28"/>
          <w:szCs w:val="28"/>
          <w:lang w:val="en-US" w:eastAsia="zh-CN" w:bidi="ar-SA"/>
        </w:rPr>
        <w:t>提供货物或服务造成就医人员投诉或反映至行政机关、社会公众平台，对医院造成不良影响，</w:t>
      </w:r>
      <w:r>
        <w:rPr>
          <w:rFonts w:hint="eastAsia" w:ascii="仿宋" w:hAnsi="仿宋" w:eastAsia="仿宋" w:cs="仿宋"/>
          <w:color w:val="auto"/>
          <w:sz w:val="28"/>
          <w:szCs w:val="28"/>
        </w:rPr>
        <w:t>视为供应商违约，采购人有权扣除成交供应商货款</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00元，</w:t>
      </w:r>
      <w:r>
        <w:rPr>
          <w:rFonts w:hint="eastAsia" w:ascii="仿宋" w:hAnsi="仿宋" w:eastAsia="仿宋" w:cs="仿宋"/>
          <w:color w:val="auto"/>
          <w:sz w:val="28"/>
          <w:szCs w:val="28"/>
          <w:lang w:val="en-US" w:eastAsia="zh-CN"/>
        </w:rPr>
        <w:t>由供应商负责消除负面影</w:t>
      </w:r>
      <w:r>
        <w:rPr>
          <w:rFonts w:hint="eastAsia" w:ascii="仿宋" w:hAnsi="仿宋" w:eastAsia="仿宋" w:cs="仿宋"/>
          <w:sz w:val="28"/>
          <w:szCs w:val="28"/>
          <w:lang w:val="en-US" w:eastAsia="zh-CN"/>
        </w:rPr>
        <w:t>响并承担相关费用。</w:t>
      </w:r>
      <w:r>
        <w:rPr>
          <w:rFonts w:hint="eastAsia" w:ascii="仿宋" w:hAnsi="仿宋" w:eastAsia="仿宋" w:cs="仿宋"/>
          <w:sz w:val="28"/>
          <w:szCs w:val="28"/>
        </w:rPr>
        <w:t>一个采购年度内成交供应商出现</w:t>
      </w:r>
      <w:r>
        <w:rPr>
          <w:rFonts w:hint="eastAsia" w:ascii="仿宋" w:hAnsi="仿宋" w:eastAsia="仿宋" w:cs="仿宋"/>
          <w:sz w:val="28"/>
          <w:szCs w:val="28"/>
          <w:lang w:val="en-US" w:eastAsia="zh-CN"/>
        </w:rPr>
        <w:t>2</w:t>
      </w:r>
      <w:r>
        <w:rPr>
          <w:rFonts w:hint="eastAsia" w:ascii="仿宋" w:hAnsi="仿宋" w:eastAsia="仿宋" w:cs="仿宋"/>
          <w:sz w:val="28"/>
          <w:szCs w:val="28"/>
        </w:rPr>
        <w:t>次本款所列违约行为，则成交供应商违约，成交供应商应向采购人支付合同总价款</w:t>
      </w:r>
      <w:r>
        <w:rPr>
          <w:rFonts w:hint="eastAsia" w:ascii="仿宋" w:hAnsi="仿宋" w:eastAsia="仿宋" w:cs="仿宋"/>
          <w:sz w:val="28"/>
          <w:szCs w:val="28"/>
          <w:lang w:val="en-US" w:eastAsia="zh-CN"/>
        </w:rPr>
        <w:t>1</w:t>
      </w:r>
      <w:r>
        <w:rPr>
          <w:rFonts w:hint="eastAsia" w:ascii="仿宋" w:hAnsi="仿宋" w:eastAsia="仿宋" w:cs="仿宋"/>
          <w:sz w:val="28"/>
          <w:szCs w:val="28"/>
        </w:rPr>
        <w:t>0%的违约金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同时</w:t>
      </w:r>
      <w:r>
        <w:rPr>
          <w:rFonts w:hint="eastAsia" w:ascii="仿宋" w:hAnsi="仿宋" w:eastAsia="仿宋" w:cs="仿宋"/>
          <w:sz w:val="28"/>
          <w:szCs w:val="28"/>
        </w:rPr>
        <w:t>采购人有权解除合同。</w:t>
      </w:r>
    </w:p>
    <w:p>
      <w:pPr>
        <w:pStyle w:val="11"/>
        <w:pageBreakBefore w:val="0"/>
        <w:kinsoku/>
        <w:wordWrap/>
        <w:overflowPunct/>
        <w:topLinePunct w:val="0"/>
        <w:autoSpaceDE/>
        <w:autoSpaceDN/>
        <w:bidi w:val="0"/>
        <w:adjustRightInd w:val="0"/>
        <w:snapToGrid/>
        <w:spacing w:line="48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bCs/>
          <w:sz w:val="28"/>
          <w:szCs w:val="28"/>
        </w:rPr>
        <w:t>3、</w:t>
      </w:r>
      <w:r>
        <w:rPr>
          <w:rFonts w:hint="eastAsia" w:ascii="仿宋" w:hAnsi="仿宋" w:eastAsia="仿宋" w:cs="仿宋"/>
          <w:sz w:val="28"/>
          <w:szCs w:val="28"/>
        </w:rPr>
        <w:t>合同履行过程中由供应商及员工原因造成的一切安全事故、人身伤亡、经济损失均由供应商自行负责承担，其责任与采购人无关。</w:t>
      </w:r>
      <w:r>
        <w:rPr>
          <w:rFonts w:hint="eastAsia" w:ascii="仿宋" w:hAnsi="仿宋" w:eastAsia="仿宋" w:cs="仿宋"/>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End w:id="0"/>
      <w:bookmarkStart w:id="7" w:name="★4.4 违约处理"/>
      <w:bookmarkEnd w:id="7"/>
    </w:p>
    <w:p>
      <w:bookmarkStart w:id="8" w:name="_GoBack"/>
      <w:bookmarkEnd w:id="8"/>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33AB5644"/>
    <w:rsid w:val="5DB5559D"/>
    <w:rsid w:val="6683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kern w:val="0"/>
      <w:sz w:val="20"/>
      <w:szCs w:val="20"/>
    </w:r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6">
    <w:name w:val="List Paragraph"/>
    <w:basedOn w:val="1"/>
    <w:autoRedefine/>
    <w:qFormat/>
    <w:uiPriority w:val="0"/>
    <w:pPr>
      <w:ind w:firstLine="420" w:firstLineChars="200"/>
    </w:pPr>
    <w:rPr>
      <w:szCs w:val="24"/>
    </w:rPr>
  </w:style>
  <w:style w:type="paragraph" w:customStyle="1" w:styleId="7">
    <w:name w:val="正文_1"/>
    <w:next w:val="8"/>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8">
    <w:name w:val="正文_2"/>
    <w:next w:val="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标题 5（有编号）（绿盟科技）"/>
    <w:basedOn w:val="8"/>
    <w:next w:val="10"/>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文本_0"/>
    <w:basedOn w:val="7"/>
    <w:next w:val="7"/>
    <w:autoRedefine/>
    <w:qFormat/>
    <w:uiPriority w:val="0"/>
    <w:pPr>
      <w:spacing w:after="120" w:line="240" w:lineRule="auto"/>
    </w:pPr>
    <w:rPr>
      <w:szCs w:val="22"/>
    </w:rPr>
  </w:style>
  <w:style w:type="paragraph" w:customStyle="1" w:styleId="13">
    <w:name w:val="正文_3_0"/>
    <w:basedOn w:val="11"/>
    <w:autoRedefine/>
    <w:qFormat/>
    <w:uiPriority w:val="0"/>
    <w:pPr>
      <w:spacing w:line="240" w:lineRule="auto"/>
    </w:pPr>
  </w:style>
  <w:style w:type="paragraph" w:customStyle="1" w:styleId="14">
    <w:name w:val="Table Paragraph"/>
    <w:basedOn w:val="11"/>
    <w:autoRedefine/>
    <w:qFormat/>
    <w:uiPriority w:val="1"/>
    <w:rPr>
      <w:rFonts w:ascii="宋体" w:hAnsi="宋体" w:eastAsia="宋体" w:cs="宋体"/>
      <w:lang w:val="en-US" w:eastAsia="zh-CN" w:bidi="ar-SA"/>
    </w:rPr>
  </w:style>
  <w:style w:type="paragraph" w:customStyle="1" w:styleId="15">
    <w:name w:val="正文文本_1"/>
    <w:basedOn w:val="11"/>
    <w:next w:val="11"/>
    <w:autoRedefine/>
    <w:unhideWhenUsed/>
    <w:qFormat/>
    <w:uiPriority w:val="99"/>
    <w:pPr>
      <w:spacing w:after="120"/>
    </w:pPr>
    <w:rPr>
      <w:rFonts w:ascii="Times New Roman" w:hAnsi="Times New Roman"/>
      <w:kern w:val="0"/>
      <w:sz w:val="20"/>
      <w:szCs w:val="20"/>
    </w:rPr>
  </w:style>
  <w:style w:type="paragraph" w:customStyle="1" w:styleId="16">
    <w:name w:val="正文不加粗"/>
    <w:basedOn w:val="7"/>
    <w:autoRedefine/>
    <w:qFormat/>
    <w:uiPriority w:val="0"/>
    <w:pPr>
      <w:tabs>
        <w:tab w:val="left" w:pos="7665"/>
      </w:tabs>
      <w:spacing w:line="480" w:lineRule="exact"/>
      <w:ind w:right="210"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2024-01-22T02:41:00Z</dcterms:created>
  <dc:creator>Administrator</dc:creator>
  <cp:lastModifiedBy>冰雪</cp:lastModifiedBy>
  <dcterms:modified xsi:type="dcterms:W3CDTF">2024-01-22T03:10:37Z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6A9D8CDBEBD042ACB647F83B94106EFC_12</vt:lpwstr>
  </property>
</Properties>
</file>