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sz w:val="28"/>
          <w:szCs w:val="28"/>
          <w:bdr w:val="single" w:color="auto" w:sz="4" w:space="0"/>
        </w:rPr>
      </w:pPr>
      <w:bookmarkStart w:id="0" w:name="_Toc193105917"/>
      <w:bookmarkStart w:id="1" w:name="_Toc350864514"/>
      <w:bookmarkStart w:id="2" w:name="_Toc193106174"/>
      <w:bookmarkStart w:id="3" w:name="_Toc193106063"/>
      <w:r>
        <w:rPr>
          <w:rFonts w:hint="eastAsia" w:ascii="仿宋" w:hAnsi="仿宋" w:eastAsia="仿宋" w:cs="仿宋"/>
          <w:b/>
          <w:sz w:val="28"/>
          <w:szCs w:val="28"/>
          <w:bdr w:val="single" w:color="auto" w:sz="4" w:space="0"/>
        </w:rPr>
        <w:t>采购编号：竹医总采（询）【2023-7-3】</w:t>
      </w:r>
    </w:p>
    <w:p>
      <w:pPr>
        <w:spacing w:line="360" w:lineRule="auto"/>
        <w:jc w:val="center"/>
        <w:rPr>
          <w:rFonts w:hint="eastAsia" w:ascii="仿宋" w:hAnsi="仿宋" w:eastAsia="仿宋" w:cs="仿宋"/>
          <w:b/>
          <w:kern w:val="0"/>
          <w:sz w:val="40"/>
          <w:szCs w:val="40"/>
          <w:lang w:eastAsia="zh-CN"/>
        </w:rPr>
      </w:pPr>
    </w:p>
    <w:p>
      <w:pPr>
        <w:spacing w:line="360" w:lineRule="auto"/>
        <w:jc w:val="center"/>
        <w:rPr>
          <w:rFonts w:hint="eastAsia" w:ascii="仿宋" w:hAnsi="仿宋" w:eastAsia="仿宋" w:cs="仿宋"/>
          <w:b/>
          <w:sz w:val="96"/>
        </w:rPr>
      </w:pPr>
      <w:r>
        <w:rPr>
          <w:rFonts w:hint="eastAsia" w:ascii="仿宋" w:hAnsi="仿宋" w:eastAsia="仿宋" w:cs="仿宋"/>
          <w:b/>
          <w:kern w:val="0"/>
          <w:sz w:val="40"/>
          <w:szCs w:val="40"/>
          <w:lang w:eastAsia="zh-CN"/>
        </w:rPr>
        <w:t>大竹县人民医院一次性卫生纸采购项目</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二O二三年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rPr>
        <w:t xml:space="preserve">询价邀请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询价须知                                               </w:t>
      </w:r>
      <w:r>
        <w:rPr>
          <w:rFonts w:hint="eastAsia" w:ascii="仿宋" w:hAnsi="仿宋" w:eastAsia="仿宋" w:cs="仿宋"/>
          <w:b/>
          <w:sz w:val="28"/>
          <w:szCs w:val="28"/>
          <w:lang w:val="en-US" w:eastAsia="zh-CN"/>
        </w:rPr>
        <w:t>4</w:t>
      </w:r>
    </w:p>
    <w:p>
      <w:pPr>
        <w:numPr>
          <w:ilvl w:val="0"/>
          <w:numId w:val="3"/>
        </w:numPr>
        <w:spacing w:line="360" w:lineRule="auto"/>
        <w:ind w:left="0" w:leftChars="0" w:firstLine="0" w:firstLineChars="0"/>
        <w:jc w:val="left"/>
        <w:rPr>
          <w:rFonts w:hint="eastAsia" w:ascii="仿宋" w:hAnsi="仿宋" w:eastAsia="仿宋" w:cs="仿宋"/>
          <w:b/>
          <w:sz w:val="28"/>
          <w:szCs w:val="28"/>
          <w:lang w:val="en-US" w:eastAsia="zh-CN"/>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7</w:t>
      </w:r>
    </w:p>
    <w:p>
      <w:pPr>
        <w:numPr>
          <w:ilvl w:val="0"/>
          <w:numId w:val="3"/>
        </w:numPr>
        <w:spacing w:line="360" w:lineRule="auto"/>
        <w:ind w:left="0" w:leftChars="0" w:firstLine="0" w:firstLineChars="0"/>
        <w:jc w:val="left"/>
        <w:rPr>
          <w:rFonts w:ascii="仿宋" w:hAnsi="仿宋" w:eastAsia="仿宋" w:cs="仿宋"/>
          <w:b/>
          <w:sz w:val="28"/>
          <w:szCs w:val="28"/>
        </w:rPr>
      </w:pPr>
      <w:r>
        <w:rPr>
          <w:rFonts w:hint="eastAsia" w:ascii="仿宋" w:hAnsi="仿宋" w:eastAsia="仿宋" w:cs="仿宋"/>
          <w:b/>
          <w:sz w:val="28"/>
          <w:szCs w:val="28"/>
        </w:rPr>
        <w:t xml:space="preserve">询价遴选活动程序和成交标准                             </w:t>
      </w:r>
      <w:r>
        <w:rPr>
          <w:rFonts w:hint="eastAsia" w:ascii="仿宋" w:hAnsi="仿宋" w:eastAsia="仿宋" w:cs="仿宋"/>
          <w:b/>
          <w:sz w:val="28"/>
          <w:szCs w:val="28"/>
          <w:lang w:val="en-US" w:eastAsia="zh-CN"/>
        </w:rPr>
        <w:t>8</w:t>
      </w:r>
    </w:p>
    <w:p>
      <w:pPr>
        <w:pStyle w:val="40"/>
        <w:snapToGrid w:val="0"/>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2</w:t>
      </w:r>
    </w:p>
    <w:p>
      <w:pPr>
        <w:pStyle w:val="31"/>
        <w:spacing w:line="360" w:lineRule="auto"/>
        <w:ind w:firstLine="0" w:firstLineChars="0"/>
        <w:jc w:val="left"/>
        <w:rPr>
          <w:rFonts w:hint="eastAsia" w:ascii="仿宋" w:hAnsi="仿宋" w:eastAsia="仿宋" w:cs="仿宋"/>
          <w:b/>
          <w:sz w:val="28"/>
          <w:szCs w:val="28"/>
          <w:lang w:val="en-US" w:eastAsia="zh-CN"/>
        </w:rPr>
      </w:pPr>
      <w:r>
        <w:rPr>
          <w:rFonts w:hint="eastAsia" w:ascii="仿宋" w:hAnsi="仿宋" w:eastAsia="仿宋" w:cs="仿宋"/>
          <w:b/>
          <w:sz w:val="28"/>
          <w:szCs w:val="28"/>
        </w:rPr>
        <w:t>第六章 供应商的资格条件要求                                   1</w:t>
      </w:r>
      <w:r>
        <w:rPr>
          <w:rFonts w:hint="eastAsia" w:ascii="仿宋" w:hAnsi="仿宋" w:eastAsia="仿宋" w:cs="仿宋"/>
          <w:b/>
          <w:sz w:val="28"/>
          <w:szCs w:val="28"/>
          <w:lang w:val="en-US" w:eastAsia="zh-CN"/>
        </w:rPr>
        <w:t>4</w:t>
      </w:r>
    </w:p>
    <w:p>
      <w:pPr>
        <w:pStyle w:val="31"/>
        <w:spacing w:line="360" w:lineRule="auto"/>
        <w:ind w:firstLine="0" w:firstLineChars="0"/>
        <w:jc w:val="left"/>
        <w:rPr>
          <w:rFonts w:hint="eastAsia" w:ascii="仿宋" w:hAnsi="仿宋" w:eastAsia="仿宋" w:cs="仿宋"/>
          <w:b/>
          <w:sz w:val="28"/>
          <w:szCs w:val="28"/>
          <w:lang w:eastAsia="zh-CN"/>
        </w:rPr>
      </w:pPr>
      <w:r>
        <w:rPr>
          <w:rFonts w:hint="eastAsia" w:ascii="仿宋" w:hAnsi="仿宋" w:eastAsia="仿宋" w:cs="仿宋"/>
          <w:b/>
          <w:sz w:val="28"/>
          <w:szCs w:val="28"/>
        </w:rPr>
        <w:t>第七章 供应商应当提供的资格证明材料                           1</w:t>
      </w:r>
      <w:r>
        <w:rPr>
          <w:rFonts w:hint="eastAsia" w:ascii="仿宋" w:hAnsi="仿宋" w:eastAsia="仿宋" w:cs="仿宋"/>
          <w:b/>
          <w:sz w:val="28"/>
          <w:szCs w:val="28"/>
          <w:lang w:val="en-US" w:eastAsia="zh-CN"/>
        </w:rPr>
        <w:t>4</w:t>
      </w:r>
    </w:p>
    <w:p>
      <w:pPr>
        <w:pStyle w:val="31"/>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hint="default" w:ascii="仿宋" w:hAnsi="仿宋" w:eastAsia="仿宋" w:cs="仿宋"/>
          <w:b/>
          <w:sz w:val="28"/>
          <w:szCs w:val="28"/>
          <w:lang w:val="en-US" w:eastAsia="zh-CN"/>
        </w:rPr>
      </w:pPr>
      <w:r>
        <w:rPr>
          <w:rFonts w:hint="eastAsia" w:ascii="仿宋" w:hAnsi="仿宋" w:eastAsia="仿宋" w:cs="仿宋"/>
          <w:b/>
          <w:sz w:val="28"/>
          <w:szCs w:val="28"/>
        </w:rPr>
        <w:t xml:space="preserve">第九章 响应文件相关文书格式                                   </w:t>
      </w:r>
      <w:r>
        <w:rPr>
          <w:rFonts w:hint="eastAsia" w:ascii="仿宋" w:hAnsi="仿宋" w:eastAsia="仿宋" w:cs="仿宋"/>
          <w:b/>
          <w:sz w:val="28"/>
          <w:szCs w:val="28"/>
          <w:lang w:val="en-US" w:eastAsia="zh-CN"/>
        </w:rPr>
        <w:t>30</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lang w:eastAsia="zh-CN"/>
        </w:rPr>
        <w:t>大竹县人民医院一次性卫生纸采购项目</w:t>
      </w:r>
      <w:r>
        <w:rPr>
          <w:rFonts w:hint="eastAsia" w:ascii="仿宋" w:hAnsi="仿宋" w:eastAsia="仿宋" w:cs="仿宋"/>
          <w:sz w:val="28"/>
          <w:szCs w:val="28"/>
        </w:rPr>
        <w:t>》组织</w:t>
      </w:r>
      <w:r>
        <w:rPr>
          <w:rFonts w:hint="eastAsia" w:ascii="仿宋" w:hAnsi="仿宋" w:eastAsia="仿宋" w:cs="仿宋"/>
          <w:sz w:val="28"/>
          <w:szCs w:val="28"/>
          <w:lang w:val="en-US" w:eastAsia="zh-CN"/>
        </w:rPr>
        <w:t>遴选</w:t>
      </w:r>
      <w:r>
        <w:rPr>
          <w:rFonts w:hint="eastAsia" w:ascii="仿宋" w:hAnsi="仿宋" w:eastAsia="仿宋" w:cs="仿宋"/>
          <w:sz w:val="28"/>
          <w:szCs w:val="28"/>
        </w:rPr>
        <w:t>，兹邀请符合本次遴选要求的供应商参与询价活动。</w:t>
      </w:r>
    </w:p>
    <w:p>
      <w:pPr>
        <w:pStyle w:val="31"/>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竹医总采（询）【2023-7-3】</w:t>
      </w: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bCs/>
          <w:sz w:val="28"/>
          <w:szCs w:val="28"/>
          <w:lang w:eastAsia="zh-CN"/>
        </w:rPr>
        <w:t>大竹县人民医院一次性卫生纸采购项目</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u w:val="single"/>
        </w:rPr>
        <w:t>2023年</w:t>
      </w:r>
      <w:r>
        <w:rPr>
          <w:rFonts w:hint="eastAsia" w:ascii="仿宋" w:hAnsi="仿宋" w:eastAsia="仿宋" w:cs="仿宋"/>
          <w:color w:val="FF0000"/>
          <w:sz w:val="28"/>
          <w:szCs w:val="28"/>
          <w:u w:val="single"/>
          <w:lang w:val="en-US" w:eastAsia="zh-CN"/>
        </w:rPr>
        <w:t>7</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日起至2023年</w:t>
      </w:r>
      <w:r>
        <w:rPr>
          <w:rFonts w:hint="eastAsia" w:ascii="仿宋" w:hAnsi="仿宋" w:eastAsia="仿宋" w:cs="仿宋"/>
          <w:color w:val="FF0000"/>
          <w:sz w:val="28"/>
          <w:szCs w:val="28"/>
          <w:u w:val="single"/>
          <w:lang w:val="en-US" w:eastAsia="zh-CN"/>
        </w:rPr>
        <w:t>7</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日09:00 - 17:00</w:t>
      </w:r>
      <w:r>
        <w:rPr>
          <w:rFonts w:hint="eastAsia" w:ascii="仿宋" w:hAnsi="仿宋" w:eastAsia="仿宋" w:cs="仿宋"/>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①报名表一份（用于核对遴选资格）；</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②本项目响应文件一份；</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③报价一览表一份。</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w:t>
      </w:r>
      <w:r>
        <w:rPr>
          <w:rFonts w:hint="eastAsia" w:ascii="仿宋" w:hAnsi="仿宋" w:eastAsia="仿宋" w:cs="仿宋"/>
          <w:color w:val="FF0000"/>
          <w:sz w:val="28"/>
          <w:szCs w:val="28"/>
          <w:u w:val="single"/>
          <w:lang w:val="en-US" w:eastAsia="zh-CN"/>
        </w:rPr>
        <w:t>7</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7</w:t>
      </w:r>
      <w:r>
        <w:rPr>
          <w:rFonts w:hint="eastAsia" w:ascii="仿宋" w:hAnsi="仿宋" w:eastAsia="仿宋" w:cs="仿宋"/>
          <w:color w:val="FF0000"/>
          <w:sz w:val="28"/>
          <w:szCs w:val="28"/>
          <w:u w:val="single"/>
        </w:rPr>
        <w:t>日</w:t>
      </w:r>
      <w:r>
        <w:rPr>
          <w:rFonts w:hint="eastAsia" w:ascii="仿宋" w:hAnsi="仿宋" w:eastAsia="仿宋" w:cs="仿宋"/>
          <w:sz w:val="28"/>
          <w:szCs w:val="28"/>
        </w:rPr>
        <w:t>9：30 时（北京时间）。必须在询价截止时间前将资料送达开标地点。未报名、逾期送达、密封盖章签字和标注不符合本询价文件规定的资料，不予受理。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1"/>
        <w:spacing w:line="360" w:lineRule="auto"/>
        <w:ind w:firstLine="560"/>
        <w:jc w:val="center"/>
        <w:rPr>
          <w:rFonts w:ascii="仿宋" w:hAnsi="仿宋" w:eastAsia="仿宋" w:cs="仿宋"/>
          <w:b/>
          <w:sz w:val="28"/>
          <w:szCs w:val="28"/>
        </w:rPr>
      </w:pPr>
      <w:bookmarkStart w:id="4" w:name="_Toc193106064"/>
      <w:bookmarkStart w:id="5" w:name="_Toc193106175"/>
      <w:bookmarkStart w:id="6" w:name="_Toc193105918"/>
      <w:bookmarkStart w:id="7" w:name="_Toc35086451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1"/>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15883703853</w:t>
            </w:r>
            <w:bookmarkStart w:id="30" w:name="_GoBack"/>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1"/>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bCs/>
                <w:kern w:val="0"/>
                <w:sz w:val="28"/>
                <w:szCs w:val="28"/>
                <w:lang w:eastAsia="zh-CN"/>
              </w:rPr>
              <w:t>大竹县人民医院一次性卫生纸采购项目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本次采购的货物共计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包，详细内容等详见本询价文件“第九章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60650元</w:t>
            </w:r>
            <w:r>
              <w:rPr>
                <w:rFonts w:hint="eastAsia" w:ascii="仿宋" w:hAnsi="仿宋" w:eastAsia="仿宋" w:cs="仿宋"/>
                <w:color w:val="FF0000"/>
                <w:sz w:val="28"/>
                <w:szCs w:val="28"/>
              </w:rPr>
              <w:t>（大写：</w:t>
            </w:r>
            <w:r>
              <w:rPr>
                <w:rFonts w:hint="eastAsia" w:ascii="仿宋" w:hAnsi="仿宋" w:eastAsia="仿宋" w:cs="仿宋"/>
                <w:color w:val="FF0000"/>
                <w:sz w:val="28"/>
                <w:szCs w:val="28"/>
                <w:lang w:eastAsia="zh-CN"/>
              </w:rPr>
              <w:t>人民币</w:t>
            </w:r>
            <w:r>
              <w:rPr>
                <w:rFonts w:hint="eastAsia" w:ascii="仿宋" w:hAnsi="仿宋" w:eastAsia="仿宋" w:cs="仿宋"/>
                <w:color w:val="FF0000"/>
                <w:sz w:val="28"/>
                <w:szCs w:val="28"/>
                <w:lang w:val="en-US" w:eastAsia="zh-CN"/>
              </w:rPr>
              <w:t>陆万零陆佰伍拾元</w:t>
            </w:r>
            <w:r>
              <w:rPr>
                <w:rFonts w:hint="eastAsia" w:ascii="仿宋" w:hAnsi="仿宋" w:eastAsia="仿宋" w:cs="仿宋"/>
                <w:color w:val="FF0000"/>
                <w:sz w:val="28"/>
                <w:szCs w:val="28"/>
                <w:lang w:eastAsia="zh-CN"/>
              </w:rPr>
              <w:t>整</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1"/>
              <w:spacing w:line="360" w:lineRule="auto"/>
              <w:ind w:firstLine="560"/>
              <w:jc w:val="center"/>
              <w:rPr>
                <w:rFonts w:ascii="仿宋" w:hAnsi="仿宋" w:eastAsia="仿宋" w:cs="仿宋"/>
                <w:sz w:val="28"/>
                <w:szCs w:val="28"/>
              </w:rPr>
            </w:pPr>
          </w:p>
        </w:tc>
        <w:tc>
          <w:tcPr>
            <w:tcW w:w="6364" w:type="dxa"/>
            <w:noWrap/>
            <w:vAlign w:val="center"/>
          </w:tcPr>
          <w:p>
            <w:pPr>
              <w:pStyle w:val="31"/>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1"/>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1"/>
        <w:spacing w:line="360" w:lineRule="auto"/>
        <w:ind w:firstLine="560"/>
        <w:rPr>
          <w:rFonts w:ascii="仿宋" w:hAnsi="仿宋" w:eastAsia="仿宋" w:cs="仿宋"/>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1"/>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六、七</w:t>
      </w:r>
      <w:r>
        <w:rPr>
          <w:rFonts w:hint="eastAsia" w:ascii="仿宋" w:hAnsi="仿宋" w:eastAsia="仿宋" w:cs="仿宋"/>
          <w:sz w:val="28"/>
          <w:szCs w:val="28"/>
        </w:rPr>
        <w:t>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w:t>
      </w:r>
      <w:r>
        <w:rPr>
          <w:rFonts w:hint="eastAsia" w:ascii="仿宋" w:hAnsi="仿宋" w:eastAsia="仿宋" w:cs="仿宋"/>
          <w:sz w:val="28"/>
          <w:szCs w:val="28"/>
          <w:u w:val="single"/>
          <w:lang w:val="en-US" w:eastAsia="zh-CN"/>
        </w:rPr>
        <w:t>九</w:t>
      </w:r>
      <w:r>
        <w:rPr>
          <w:rFonts w:hint="eastAsia" w:ascii="仿宋" w:hAnsi="仿宋" w:eastAsia="仿宋" w:cs="仿宋"/>
          <w:sz w:val="28"/>
          <w:szCs w:val="28"/>
          <w:u w:val="single"/>
        </w:rPr>
        <w:t>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1"/>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w:t>
      </w:r>
      <w:r>
        <w:rPr>
          <w:rFonts w:hint="eastAsia" w:ascii="仿宋" w:hAnsi="仿宋" w:eastAsia="仿宋" w:cs="仿宋"/>
          <w:sz w:val="28"/>
          <w:szCs w:val="28"/>
          <w:u w:val="single"/>
        </w:rPr>
        <w:t>1-3</w:t>
      </w:r>
      <w:r>
        <w:rPr>
          <w:rFonts w:hint="eastAsia" w:ascii="仿宋" w:hAnsi="仿宋" w:eastAsia="仿宋" w:cs="仿宋"/>
          <w:sz w:val="28"/>
          <w:szCs w:val="28"/>
        </w:rPr>
        <w:t xml:space="preserve"> 名，并由采购人确定顺序第1名的，为成交供应商。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大竹县人民医院微信公众号上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9、成交供应商接到采购人中标通知后，15日内来院签订合同，逾期未到者，按弃权处理。</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1"/>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2、评审委员会从质量和服务均能满足采购文件实质性响应要求的供应商中，按照报价由低到高的顺序提出3名以上成交候选人。</w:t>
      </w:r>
    </w:p>
    <w:p>
      <w:pPr>
        <w:pStyle w:val="31"/>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2、成交供应商应在成交公告之日起十五日内与采购人签订采购合同。由于成交供应商的原因逾期未与采购人签订采购合同的，将视为放弃成交。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1"/>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1"/>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0"/>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3、响应文件、样品不否符合询价文件规定数量、要求的，响应文件、样品未提供或逾期送达的。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1"/>
        <w:spacing w:line="360" w:lineRule="auto"/>
        <w:ind w:firstLine="560"/>
        <w:rPr>
          <w:rFonts w:ascii="仿宋" w:hAnsi="仿宋" w:eastAsia="仿宋" w:cs="仿宋"/>
          <w:sz w:val="28"/>
          <w:szCs w:val="28"/>
        </w:rPr>
      </w:pPr>
      <w:bookmarkStart w:id="10" w:name="_Toc192318708"/>
      <w:bookmarkStart w:id="11" w:name="_Toc192318381"/>
      <w:bookmarkStart w:id="12" w:name="_Toc350864517"/>
      <w:bookmarkStart w:id="13" w:name="_Toc193105919"/>
      <w:bookmarkStart w:id="14" w:name="_Toc192318461"/>
      <w:bookmarkStart w:id="15" w:name="_Toc193106065"/>
      <w:bookmarkStart w:id="16" w:name="_Toc193106176"/>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《政府采购法》第二十二条规定的条件：</w:t>
      </w:r>
    </w:p>
    <w:p>
      <w:pPr>
        <w:adjustRightInd w:val="0"/>
        <w:snapToGrid w:val="0"/>
        <w:spacing w:line="360" w:lineRule="auto"/>
        <w:ind w:firstLine="480"/>
        <w:rPr>
          <w:rFonts w:ascii="宋体" w:hAnsi="宋体" w:cs="宋体"/>
          <w:sz w:val="24"/>
        </w:rPr>
      </w:pPr>
      <w:bookmarkStart w:id="18" w:name="_Toc30838_WPSOffice_Level2"/>
      <w:r>
        <w:rPr>
          <w:rFonts w:hint="eastAsia" w:ascii="宋体" w:hAnsi="宋体" w:cs="宋体"/>
          <w:sz w:val="24"/>
        </w:rPr>
        <w:t>1、具有独立承担民事责任的能力；</w:t>
      </w:r>
      <w:bookmarkEnd w:id="18"/>
    </w:p>
    <w:p>
      <w:pPr>
        <w:adjustRightInd w:val="0"/>
        <w:snapToGrid w:val="0"/>
        <w:spacing w:line="360" w:lineRule="auto"/>
        <w:ind w:firstLine="480"/>
        <w:rPr>
          <w:rFonts w:ascii="宋体" w:hAnsi="宋体" w:cs="宋体"/>
          <w:sz w:val="24"/>
        </w:rPr>
      </w:pPr>
      <w:bookmarkStart w:id="19"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9"/>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20" w:name="_Toc26110_WPSOffice_Level2"/>
      <w:r>
        <w:rPr>
          <w:rFonts w:hint="eastAsia" w:ascii="宋体" w:hAnsi="宋体" w:cs="宋体"/>
          <w:sz w:val="24"/>
        </w:rPr>
        <w:t>3、具有履行合同所必需的设备和专业技术能力；</w:t>
      </w:r>
      <w:bookmarkEnd w:id="20"/>
    </w:p>
    <w:p>
      <w:pPr>
        <w:adjustRightInd w:val="0"/>
        <w:snapToGrid w:val="0"/>
        <w:spacing w:line="360" w:lineRule="auto"/>
        <w:ind w:firstLine="480"/>
        <w:rPr>
          <w:rFonts w:ascii="宋体" w:hAnsi="宋体" w:cs="宋体"/>
          <w:sz w:val="24"/>
        </w:rPr>
      </w:pPr>
      <w:bookmarkStart w:id="21" w:name="_Toc26040_WPSOffice_Level2"/>
      <w:r>
        <w:rPr>
          <w:rFonts w:hint="eastAsia" w:ascii="宋体" w:hAnsi="宋体" w:cs="宋体"/>
          <w:sz w:val="24"/>
        </w:rPr>
        <w:t>4、有依法缴纳税收和社会保障资金的良好记录；</w:t>
      </w:r>
      <w:bookmarkEnd w:id="21"/>
    </w:p>
    <w:p>
      <w:pPr>
        <w:adjustRightInd w:val="0"/>
        <w:snapToGrid w:val="0"/>
        <w:spacing w:line="360" w:lineRule="auto"/>
        <w:ind w:firstLine="480"/>
        <w:rPr>
          <w:rFonts w:ascii="宋体" w:hAnsi="宋体" w:cs="宋体"/>
          <w:sz w:val="24"/>
        </w:rPr>
      </w:pPr>
      <w:bookmarkStart w:id="22" w:name="_Toc6860_WPSOffice_Level2"/>
      <w:r>
        <w:rPr>
          <w:rFonts w:hint="eastAsia" w:ascii="宋体" w:hAnsi="宋体" w:cs="宋体"/>
          <w:sz w:val="24"/>
        </w:rPr>
        <w:t>5、参加政府采购活动前三年内，在经营活动中没有重大违法记录；</w:t>
      </w:r>
      <w:bookmarkEnd w:id="22"/>
    </w:p>
    <w:p>
      <w:pPr>
        <w:adjustRightInd w:val="0"/>
        <w:snapToGrid w:val="0"/>
        <w:spacing w:line="360" w:lineRule="auto"/>
        <w:ind w:firstLine="480"/>
        <w:rPr>
          <w:rFonts w:hint="eastAsia" w:ascii="宋体" w:hAnsi="宋体" w:cs="宋体"/>
          <w:sz w:val="24"/>
        </w:rPr>
      </w:pPr>
      <w:bookmarkStart w:id="23" w:name="_Toc30973_WPSOffice_Level2"/>
      <w:r>
        <w:rPr>
          <w:rFonts w:hint="eastAsia" w:ascii="宋体" w:hAnsi="宋体" w:cs="宋体"/>
          <w:sz w:val="24"/>
        </w:rPr>
        <w:t>6、法律、行政法规规定的其他条件；</w:t>
      </w:r>
      <w:bookmarkEnd w:id="23"/>
    </w:p>
    <w:p>
      <w:pPr>
        <w:pStyle w:val="20"/>
        <w:rPr>
          <w:rFonts w:hint="eastAsia"/>
        </w:rPr>
      </w:pPr>
      <w:r>
        <w:rPr>
          <w:rFonts w:hint="eastAsia" w:ascii="仿宋" w:hAnsi="仿宋" w:eastAsia="仿宋" w:cs="仿宋"/>
          <w:sz w:val="28"/>
          <w:szCs w:val="28"/>
          <w:lang w:val="en-US" w:eastAsia="zh-CN"/>
        </w:rPr>
        <w:t xml:space="preserve"> 签订合同前，供应商应提供所有纸品的检测报告，</w:t>
      </w:r>
      <w:r>
        <w:rPr>
          <w:rFonts w:hint="eastAsia" w:ascii="仿宋_GB2312" w:hAnsi="仿宋_GB2312" w:eastAsia="仿宋_GB2312" w:cs="仿宋_GB2312"/>
          <w:sz w:val="28"/>
          <w:szCs w:val="28"/>
          <w:lang w:eastAsia="zh-CN"/>
        </w:rPr>
        <w:t>提供具有</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"https://www.baidu.com/link?url=8vhMXUv09UoCl6Vh_zZMcRakgfQEi4j0J8EqIyYz9yQSjIH9-gMuZEAJrb9Y19Uu&amp;wd=&amp;eqid=ce73a44d00016ea30000000363c6179c" \t "https://www.baidu.com/_blank"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国家认证认可监督管理委员会</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认可</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eastAsia="zh-CN"/>
        </w:rPr>
        <w:t>第三方检测机构出具的检测报告复印件或扫描件。</w:t>
      </w:r>
      <w:r>
        <w:rPr>
          <w:rFonts w:hint="eastAsia" w:ascii="仿宋_GB2312" w:hAnsi="仿宋_GB2312" w:eastAsia="仿宋_GB2312" w:cs="仿宋_GB2312"/>
          <w:sz w:val="28"/>
          <w:szCs w:val="28"/>
          <w:lang w:val="en-US" w:eastAsia="zh-CN"/>
        </w:rPr>
        <w:t>检测的纸品应根据纸品类型，</w:t>
      </w:r>
      <w:r>
        <w:rPr>
          <w:rFonts w:hint="eastAsia" w:ascii="仿宋" w:hAnsi="仿宋" w:eastAsia="仿宋" w:cs="仿宋"/>
          <w:sz w:val="28"/>
          <w:szCs w:val="28"/>
          <w:lang w:val="en-US" w:eastAsia="zh-CN"/>
        </w:rPr>
        <w:t>符合</w:t>
      </w:r>
      <w:r>
        <w:rPr>
          <w:rFonts w:hint="eastAsia" w:ascii="仿宋" w:hAnsi="仿宋" w:eastAsia="仿宋" w:cs="仿宋"/>
          <w:b/>
          <w:bCs w:val="0"/>
          <w:color w:val="auto"/>
          <w:sz w:val="28"/>
          <w:szCs w:val="28"/>
          <w:u w:val="none"/>
          <w:lang w:val="en-US" w:eastAsia="zh-CN"/>
        </w:rPr>
        <w:t>GB/T 20810-2018 《卫生纸(含卫生纸原纸)》或最新标准，GB/T 20808-2011《纸巾纸》或最新标准，GB15979《一次性使用卫生用品卫生标准》等，符合相应的一项或多项国家标准。</w:t>
      </w:r>
    </w:p>
    <w:p>
      <w:pPr>
        <w:adjustRightInd w:val="0"/>
        <w:snapToGrid w:val="0"/>
        <w:spacing w:line="360" w:lineRule="auto"/>
        <w:ind w:firstLine="480"/>
        <w:rPr>
          <w:rFonts w:ascii="宋体" w:hAnsi="宋体" w:cs="宋体"/>
          <w:sz w:val="24"/>
        </w:rPr>
      </w:pPr>
      <w:bookmarkStart w:id="24" w:name="_Toc15381_WPSOffice_Level2"/>
      <w:r>
        <w:rPr>
          <w:rFonts w:hint="eastAsia" w:ascii="宋体" w:hAnsi="宋体" w:cs="宋体"/>
          <w:sz w:val="24"/>
        </w:rPr>
        <w:t>7、本项目不接受联合体投标。</w:t>
      </w:r>
      <w:bookmarkEnd w:id="24"/>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p>
    <w:p>
      <w:pPr>
        <w:pStyle w:val="31"/>
        <w:spacing w:line="360" w:lineRule="auto"/>
        <w:ind w:firstLine="0" w:firstLineChars="0"/>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25" w:name="_Toc350864519"/>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7、提供供应商最近一年的任意1个月缴纳税收和社保的凭证或承诺函（新成立不足一个月的公司，提供成交后依法缴纳税收和社保的承诺函，格式自拟）；</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p>
    <w:p>
      <w:pPr>
        <w:pStyle w:val="31"/>
        <w:spacing w:line="360" w:lineRule="auto"/>
        <w:ind w:firstLine="0" w:firstLineChars="0"/>
        <w:jc w:val="center"/>
        <w:rPr>
          <w:rFonts w:hint="eastAsia" w:ascii="仿宋" w:hAnsi="仿宋" w:eastAsia="仿宋" w:cs="仿宋"/>
          <w:b/>
          <w:sz w:val="28"/>
          <w:szCs w:val="28"/>
        </w:rPr>
      </w:pPr>
    </w:p>
    <w:p>
      <w:pPr>
        <w:pStyle w:val="31"/>
        <w:spacing w:line="360" w:lineRule="auto"/>
        <w:ind w:firstLine="0" w:firstLineChars="0"/>
        <w:jc w:val="center"/>
        <w:rPr>
          <w:rFonts w:hint="eastAsia" w:ascii="仿宋" w:hAnsi="仿宋" w:eastAsia="仿宋" w:cs="仿宋"/>
          <w:b/>
          <w:sz w:val="28"/>
          <w:szCs w:val="28"/>
        </w:rPr>
      </w:pPr>
    </w:p>
    <w:p>
      <w:pPr>
        <w:pStyle w:val="31"/>
        <w:spacing w:line="360" w:lineRule="auto"/>
        <w:ind w:firstLine="0" w:firstLineChars="0"/>
        <w:jc w:val="center"/>
        <w:rPr>
          <w:rFonts w:hint="eastAsia" w:ascii="仿宋" w:hAnsi="仿宋" w:eastAsia="仿宋" w:cs="仿宋"/>
          <w:b/>
          <w:sz w:val="28"/>
          <w:szCs w:val="28"/>
        </w:rPr>
      </w:pPr>
    </w:p>
    <w:p>
      <w:pPr>
        <w:pStyle w:val="31"/>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bookmarkEnd w:id="25"/>
    <w:p>
      <w:pPr>
        <w:pStyle w:val="31"/>
        <w:spacing w:line="360" w:lineRule="auto"/>
        <w:ind w:firstLine="562"/>
        <w:rPr>
          <w:rFonts w:ascii="仿宋" w:hAnsi="仿宋" w:eastAsia="仿宋" w:cs="仿宋"/>
          <w:b/>
          <w:sz w:val="28"/>
          <w:szCs w:val="28"/>
        </w:rPr>
      </w:pPr>
    </w:p>
    <w:p>
      <w:pPr>
        <w:pStyle w:val="36"/>
        <w:spacing w:line="360" w:lineRule="auto"/>
        <w:ind w:firstLine="560" w:firstLineChars="200"/>
        <w:jc w:val="center"/>
        <w:rPr>
          <w:rFonts w:hint="eastAsia" w:ascii="方正公文小标宋" w:hAnsi="方正公文小标宋" w:eastAsia="方正公文小标宋" w:cs="方正公文小标宋"/>
          <w:sz w:val="28"/>
          <w:szCs w:val="28"/>
          <w:lang w:eastAsia="zh-CN"/>
        </w:rPr>
      </w:pPr>
      <w:r>
        <w:rPr>
          <w:rFonts w:hint="eastAsia" w:ascii="方正公文小标宋" w:hAnsi="方正公文小标宋" w:eastAsia="方正公文小标宋" w:cs="方正公文小标宋"/>
          <w:sz w:val="28"/>
          <w:szCs w:val="28"/>
          <w:lang w:eastAsia="zh-CN"/>
        </w:rPr>
        <w:t>大竹县人民医院一次性卫生纸采购项目</w:t>
      </w:r>
    </w:p>
    <w:p>
      <w:pPr>
        <w:pStyle w:val="36"/>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一、项目预算</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pStyle w:val="36"/>
        <w:spacing w:line="360" w:lineRule="auto"/>
        <w:ind w:firstLine="560" w:firstLineChars="200"/>
        <w:rPr>
          <w:rFonts w:hint="eastAsia" w:ascii="仿宋" w:hAnsi="仿宋" w:eastAsia="仿宋" w:cs="仿宋"/>
          <w:color w:val="auto"/>
          <w:spacing w:val="-14"/>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sz w:val="28"/>
          <w:szCs w:val="28"/>
          <w:lang w:val="en-US" w:eastAsia="zh-CN"/>
        </w:rPr>
        <w:t>60650元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陆万零陆佰伍拾元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 xml:space="preserve">） </w:t>
      </w:r>
    </w:p>
    <w:p>
      <w:pPr>
        <w:pStyle w:val="31"/>
        <w:numPr>
          <w:ilvl w:val="0"/>
          <w:numId w:val="8"/>
        </w:numPr>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采购标的</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pStyle w:val="31"/>
        <w:numPr>
          <w:ilvl w:val="0"/>
          <w:numId w:val="0"/>
        </w:numPr>
        <w:spacing w:line="5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供应商应将合格货物按时配送到采购人院区内指定地点，同时根据采购人需要提供</w:t>
      </w:r>
      <w:r>
        <w:rPr>
          <w:rFonts w:hint="eastAsia" w:ascii="仿宋" w:hAnsi="仿宋" w:eastAsia="仿宋" w:cs="仿宋"/>
          <w:color w:val="auto"/>
          <w:sz w:val="28"/>
          <w:szCs w:val="28"/>
          <w:lang w:val="en-US" w:eastAsia="zh-CN"/>
        </w:rPr>
        <w:t>货物相应配套</w:t>
      </w:r>
      <w:r>
        <w:rPr>
          <w:rFonts w:hint="eastAsia" w:ascii="仿宋" w:hAnsi="仿宋" w:eastAsia="仿宋" w:cs="仿宋"/>
          <w:color w:val="auto"/>
          <w:sz w:val="28"/>
          <w:szCs w:val="28"/>
        </w:rPr>
        <w:t>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对不符合需求的一次性纸品等货物包退换，不再额外收取费用。</w:t>
      </w:r>
    </w:p>
    <w:p>
      <w:pPr>
        <w:pStyle w:val="31"/>
        <w:spacing w:line="360" w:lineRule="auto"/>
        <w:ind w:left="0" w:leftChars="0"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特别提示：对于供应商在实际供货中弄虚作假，以低价成交，在实际供货中减少供货数量和质量（低于询价文件要求、供货不足数等行为），采购人自备计量器具，并具有长期合作的第三方检测机构，一经核实供应商的弄虚作假行为，采购人将直接从供应商应付货款中扣除合同总价20%的违约金，并添加至诚信黑名单内</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highlight w:val="none"/>
          <w:lang w:val="en-US" w:eastAsia="zh-CN"/>
        </w:rPr>
        <w:t>（供应商对此项提供承诺函，格式自理）</w:t>
      </w:r>
    </w:p>
    <w:tbl>
      <w:tblPr>
        <w:tblStyle w:val="14"/>
        <w:tblpPr w:leftFromText="180" w:rightFromText="180" w:vertAnchor="text" w:horzAnchor="page" w:tblpX="1285" w:tblpY="594"/>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8"/>
        <w:gridCol w:w="5134"/>
        <w:gridCol w:w="94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8" w:type="dxa"/>
            <w:vAlign w:val="center"/>
          </w:tcPr>
          <w:p>
            <w:pPr>
              <w:spacing w:line="360" w:lineRule="auto"/>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序号</w:t>
            </w:r>
          </w:p>
        </w:tc>
        <w:tc>
          <w:tcPr>
            <w:tcW w:w="1428" w:type="dxa"/>
            <w:vAlign w:val="center"/>
          </w:tcPr>
          <w:p>
            <w:pPr>
              <w:spacing w:line="360" w:lineRule="auto"/>
              <w:jc w:val="center"/>
              <w:rPr>
                <w:rFonts w:hint="eastAsia" w:ascii="黑体" w:hAnsi="黑体" w:eastAsia="黑体" w:cs="黑体"/>
                <w:color w:val="auto"/>
                <w:sz w:val="28"/>
                <w:szCs w:val="28"/>
              </w:rPr>
            </w:pPr>
            <w:r>
              <w:rPr>
                <w:rFonts w:hint="eastAsia" w:ascii="黑体" w:hAnsi="黑体" w:eastAsia="黑体" w:cs="黑体"/>
                <w:color w:val="auto"/>
                <w:sz w:val="28"/>
                <w:szCs w:val="28"/>
              </w:rPr>
              <w:t>品   名</w:t>
            </w:r>
          </w:p>
        </w:tc>
        <w:tc>
          <w:tcPr>
            <w:tcW w:w="5134" w:type="dxa"/>
            <w:vAlign w:val="center"/>
          </w:tcPr>
          <w:p>
            <w:pPr>
              <w:spacing w:line="360" w:lineRule="auto"/>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技术要求</w:t>
            </w:r>
          </w:p>
        </w:tc>
        <w:tc>
          <w:tcPr>
            <w:tcW w:w="941" w:type="dxa"/>
            <w:vAlign w:val="center"/>
          </w:tcPr>
          <w:p>
            <w:pPr>
              <w:spacing w:line="360" w:lineRule="auto"/>
              <w:jc w:val="center"/>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计价</w:t>
            </w:r>
            <w:r>
              <w:rPr>
                <w:rFonts w:hint="eastAsia" w:ascii="黑体" w:hAnsi="黑体" w:eastAsia="黑体" w:cs="黑体"/>
                <w:color w:val="auto"/>
                <w:sz w:val="28"/>
                <w:szCs w:val="28"/>
              </w:rPr>
              <w:t>单位</w:t>
            </w:r>
          </w:p>
        </w:tc>
        <w:tc>
          <w:tcPr>
            <w:tcW w:w="1242" w:type="dxa"/>
            <w:vAlign w:val="center"/>
          </w:tcPr>
          <w:p>
            <w:pPr>
              <w:spacing w:line="360" w:lineRule="auto"/>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08" w:type="dxa"/>
            <w:vAlign w:val="center"/>
          </w:tcPr>
          <w:p>
            <w:pPr>
              <w:spacing w:line="360" w:lineRule="auto"/>
              <w:jc w:val="center"/>
              <w:rPr>
                <w:rFonts w:hint="eastAsia" w:ascii="仿宋" w:hAnsi="仿宋" w:eastAsia="仿宋" w:cs="仿宋"/>
                <w:b w:val="0"/>
                <w:bCs w:val="0"/>
                <w:color w:val="auto"/>
                <w:sz w:val="28"/>
                <w:szCs w:val="28"/>
                <w:lang w:val="en-US" w:eastAsia="zh-CN"/>
              </w:rPr>
            </w:pPr>
          </w:p>
          <w:p>
            <w:pPr>
              <w:pStyle w:val="20"/>
              <w:jc w:val="center"/>
              <w:rPr>
                <w:rFonts w:hint="eastAsia" w:ascii="仿宋" w:hAnsi="仿宋" w:eastAsia="仿宋" w:cs="仿宋"/>
                <w:b w:val="0"/>
                <w:bCs w:val="0"/>
                <w:color w:val="auto"/>
                <w:sz w:val="28"/>
                <w:szCs w:val="28"/>
                <w:lang w:val="en-US" w:eastAsia="zh-CN"/>
              </w:rPr>
            </w:pPr>
          </w:p>
          <w:p>
            <w:pPr>
              <w:pStyle w:val="22"/>
              <w:ind w:firstLine="280" w:firstLineChars="1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压花散片手帕纸巾</w:t>
            </w:r>
          </w:p>
        </w:tc>
        <w:tc>
          <w:tcPr>
            <w:tcW w:w="5134" w:type="dxa"/>
            <w:vAlign w:val="center"/>
          </w:tcPr>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用途：</w:t>
            </w:r>
            <w:r>
              <w:rPr>
                <w:rFonts w:hint="eastAsia" w:ascii="仿宋_GB2312" w:hAnsi="仿宋_GB2312" w:eastAsia="仿宋_GB2312" w:cs="仿宋_GB2312"/>
                <w:sz w:val="28"/>
                <w:szCs w:val="28"/>
                <w:u w:val="single"/>
                <w:lang w:val="en-US" w:eastAsia="zh-CN"/>
              </w:rPr>
              <w:t>用于擦拭非创伤患者的体表，不能掉纸屑，不掉灰尘等杂质、杂质，吸水后不能易烂。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约20斤一箱，坚韧纸箱包装，内有一层柔韧塑料袋密封，高温消毒、干净卫生。</w:t>
            </w:r>
          </w:p>
          <w:p>
            <w:pPr>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lang w:val="en-US" w:eastAsia="zh-CN"/>
              </w:rPr>
              <w:t>尺寸：每张纸展开后210mm×200mm/抽（2层），每斤纸约500抽左右。</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细菌菌落总数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200</w:t>
            </w:r>
            <w:r>
              <w:rPr>
                <w:rFonts w:hint="eastAsia" w:ascii="仿宋_GB2312" w:hAnsi="仿宋_GB2312" w:eastAsia="仿宋_GB2312" w:cs="仿宋_GB2312"/>
                <w:sz w:val="28"/>
                <w:szCs w:val="28"/>
                <w:lang w:val="en-US" w:eastAsia="zh-CN"/>
              </w:rPr>
              <w:t xml:space="preserve"> CFU/g</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金黄色葡萄球菌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溶血性链球菌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绿脓菌</w:t>
            </w:r>
            <w:r>
              <w:rPr>
                <w:rFonts w:hint="eastAsia" w:ascii="仿宋_GB2312" w:hAnsi="仿宋_GB2312" w:eastAsia="仿宋_GB2312" w:cs="仿宋_GB2312"/>
                <w:sz w:val="28"/>
                <w:szCs w:val="28"/>
                <w:lang w:eastAsia="zh-CN"/>
              </w:rPr>
              <w:t>。</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真菌菌落总数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100 CFU / g</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斤</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pPr>
              <w:pStyle w:val="22"/>
              <w:ind w:firstLine="280" w:firstLineChars="1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面巾抽纸</w:t>
            </w:r>
          </w:p>
        </w:tc>
        <w:tc>
          <w:tcPr>
            <w:tcW w:w="5134" w:type="dxa"/>
            <w:vAlign w:val="center"/>
          </w:tcPr>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用途：</w:t>
            </w:r>
            <w:r>
              <w:rPr>
                <w:rFonts w:hint="eastAsia" w:ascii="仿宋_GB2312" w:hAnsi="仿宋_GB2312" w:eastAsia="仿宋_GB2312" w:cs="仿宋_GB2312"/>
                <w:sz w:val="28"/>
                <w:szCs w:val="28"/>
                <w:u w:val="single"/>
                <w:lang w:val="en-US" w:eastAsia="zh-CN"/>
              </w:rPr>
              <w:t>用于内镜中心对消毒清洁后的腔镜进行擦拭，不能掉纸屑，不掉灰尘等杂质，吸水后不能易烂，可做洗脸巾。</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规格：175mm×116mm/（4层）</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净含量：70抽/包</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纸张4层加厚</w:t>
            </w:r>
            <w:r>
              <w:rPr>
                <w:rFonts w:hint="eastAsia" w:ascii="仿宋_GB2312" w:hAnsi="仿宋_GB2312" w:eastAsia="仿宋_GB2312" w:cs="仿宋_GB2312"/>
                <w:sz w:val="28"/>
                <w:szCs w:val="28"/>
                <w:lang w:val="en-US" w:eastAsia="zh-CN"/>
              </w:rPr>
              <w:t>，易撕扯，坚韧纸箱包装，每包小抽纸独立密封包装，包装开口易打开，干净卫生。</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细菌菌落总数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200</w:t>
            </w:r>
            <w:r>
              <w:rPr>
                <w:rFonts w:hint="eastAsia" w:ascii="仿宋_GB2312" w:hAnsi="仿宋_GB2312" w:eastAsia="仿宋_GB2312" w:cs="仿宋_GB2312"/>
                <w:sz w:val="28"/>
                <w:szCs w:val="28"/>
                <w:lang w:val="en-US" w:eastAsia="zh-CN"/>
              </w:rPr>
              <w:t xml:space="preserve"> CFU/g</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金黄色葡萄球菌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溶血性链球菌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绿脓菌</w:t>
            </w:r>
            <w:r>
              <w:rPr>
                <w:rFonts w:hint="eastAsia" w:ascii="仿宋_GB2312" w:hAnsi="仿宋_GB2312" w:eastAsia="仿宋_GB2312" w:cs="仿宋_GB2312"/>
                <w:sz w:val="28"/>
                <w:szCs w:val="28"/>
                <w:lang w:eastAsia="zh-CN"/>
              </w:rPr>
              <w:t>。</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真菌菌落总数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100 CFU / g</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面巾纸采用优质竹木等做原材料，具有良好的吸水性，透气性，具有抑菌作用。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包</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1.5元/包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pPr>
              <w:pStyle w:val="22"/>
              <w:ind w:firstLine="280" w:firstLineChars="1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公厕</w:t>
            </w:r>
          </w:p>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大卷纸</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每个大卷纸700克，长度约220米，</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每个大卷纸净重不低于650克/个，单卷直径约24cm，采用50克小纸芯。纸张四层加厚</w:t>
            </w:r>
            <w:r>
              <w:rPr>
                <w:rFonts w:hint="eastAsia" w:ascii="仿宋_GB2312" w:hAnsi="仿宋_GB2312" w:eastAsia="仿宋_GB2312" w:cs="仿宋_GB2312"/>
                <w:sz w:val="28"/>
                <w:szCs w:val="28"/>
                <w:lang w:val="en-US" w:eastAsia="zh-CN"/>
              </w:rPr>
              <w:t>，断点清晰，易撕扯，</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坚韧纸箱包装，</w:t>
            </w:r>
            <w:r>
              <w:rPr>
                <w:rFonts w:hint="eastAsia" w:ascii="仿宋_GB2312" w:hAnsi="仿宋_GB2312" w:eastAsia="仿宋_GB2312" w:cs="仿宋_GB2312"/>
                <w:sz w:val="28"/>
                <w:szCs w:val="28"/>
                <w:u w:val="single"/>
                <w:lang w:val="en-US" w:eastAsia="zh-CN"/>
              </w:rPr>
              <w:t>每卷纸独立塑封包装</w:t>
            </w:r>
            <w:r>
              <w:rPr>
                <w:rFonts w:hint="eastAsia" w:ascii="仿宋_GB2312" w:hAnsi="仿宋_GB2312" w:eastAsia="仿宋_GB2312" w:cs="仿宋_GB2312"/>
                <w:sz w:val="28"/>
                <w:szCs w:val="28"/>
                <w:lang w:val="en-US" w:eastAsia="zh-CN"/>
              </w:rPr>
              <w:t>，高温消毒、干净卫生。</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压纹散装卫生纸</w:t>
            </w:r>
          </w:p>
        </w:tc>
        <w:tc>
          <w:tcPr>
            <w:tcW w:w="5134" w:type="dxa"/>
            <w:vAlign w:val="center"/>
          </w:tcPr>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用途：用于患者超声检查后，擦拭耦合剂。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散装，外包装为坚韧纸箱包装，每提纸捆扎便携，外有一层柔韧塑料袋密封，高温消毒、干净卫生。</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尺寸：每张纸21cm×22cm/抽（单层），每斤纸约600抽左右</w:t>
            </w:r>
            <w:r>
              <w:rPr>
                <w:rFonts w:hint="eastAsia" w:ascii="仿宋_GB2312" w:hAnsi="仿宋_GB2312" w:eastAsia="仿宋_GB2312" w:cs="仿宋_GB2312"/>
                <w:sz w:val="28"/>
                <w:szCs w:val="28"/>
                <w:lang w:val="en-US" w:eastAsia="zh-CN"/>
              </w:rPr>
              <w:t>。</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斤</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6.25元/斤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压纹印花卷筒纸</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每个小卷筒纸净重不低于160克/个，纸张尺寸：102mm×125mm/节（4层）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坚韧纸箱包装，</w:t>
            </w:r>
            <w:r>
              <w:rPr>
                <w:rFonts w:hint="eastAsia" w:ascii="仿宋_GB2312" w:hAnsi="仿宋_GB2312" w:eastAsia="仿宋_GB2312" w:cs="仿宋_GB2312"/>
                <w:sz w:val="28"/>
                <w:szCs w:val="28"/>
                <w:u w:val="single"/>
                <w:lang w:val="en-US" w:eastAsia="zh-CN"/>
              </w:rPr>
              <w:t>每卷纸独立塑封包装，每12卷一提塑料密封外包装</w:t>
            </w:r>
            <w:r>
              <w:rPr>
                <w:rFonts w:hint="eastAsia" w:ascii="仿宋_GB2312" w:hAnsi="仿宋_GB2312" w:eastAsia="仿宋_GB2312" w:cs="仿宋_GB2312"/>
                <w:sz w:val="28"/>
                <w:szCs w:val="28"/>
                <w:lang w:val="en-US" w:eastAsia="zh-CN"/>
              </w:rPr>
              <w:t>，高温消毒、干净卫生。</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纸张四层加厚，断点清晰，易撕扯，</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1.85元/个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擦嘴抽纸</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规格：173mm×173mm/（3层）</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净含量：75抽/包</w:t>
            </w:r>
          </w:p>
          <w:p>
            <w:pPr>
              <w:ind w:firstLine="560" w:firstLineChars="200"/>
              <w:rPr>
                <w:rFonts w:hint="eastAsia"/>
                <w:sz w:val="28"/>
                <w:szCs w:val="28"/>
                <w:lang w:val="en-US" w:eastAsia="zh-CN"/>
              </w:rPr>
            </w:pPr>
            <w:r>
              <w:rPr>
                <w:rFonts w:hint="eastAsia" w:ascii="仿宋_GB2312" w:hAnsi="仿宋_GB2312" w:eastAsia="仿宋_GB2312" w:cs="仿宋_GB2312"/>
                <w:sz w:val="28"/>
                <w:szCs w:val="28"/>
                <w:lang w:val="en-US" w:eastAsia="zh-CN"/>
              </w:rPr>
              <w:t>坚韧纸箱包装，</w:t>
            </w:r>
            <w:r>
              <w:rPr>
                <w:rFonts w:hint="eastAsia" w:ascii="仿宋_GB2312" w:hAnsi="仿宋_GB2312" w:eastAsia="仿宋_GB2312" w:cs="仿宋_GB2312"/>
                <w:sz w:val="28"/>
                <w:szCs w:val="28"/>
                <w:u w:val="single"/>
                <w:lang w:val="en-US" w:eastAsia="zh-CN"/>
              </w:rPr>
              <w:t>每包小抽纸独立密封包装</w:t>
            </w:r>
            <w:r>
              <w:rPr>
                <w:rFonts w:hint="eastAsia" w:ascii="仿宋_GB2312" w:hAnsi="仿宋_GB2312" w:eastAsia="仿宋_GB2312" w:cs="仿宋_GB2312"/>
                <w:sz w:val="28"/>
                <w:szCs w:val="28"/>
                <w:lang w:val="en-US" w:eastAsia="zh-CN"/>
              </w:rPr>
              <w:t>，包装开口易打开，干净卫生。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rPr>
              <w:t>细菌菌落总数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200</w:t>
            </w:r>
            <w:r>
              <w:rPr>
                <w:rFonts w:hint="eastAsia" w:ascii="仿宋_GB2312" w:hAnsi="仿宋_GB2312" w:eastAsia="仿宋_GB2312" w:cs="仿宋_GB2312"/>
                <w:sz w:val="28"/>
                <w:szCs w:val="28"/>
                <w:lang w:val="en-US" w:eastAsia="zh-CN"/>
              </w:rPr>
              <w:t xml:space="preserve"> CFU/g</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金黄色葡萄球菌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溶血性链球菌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绿脓菌</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真菌菌落总数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100 CFU / g</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采用优质竹木等做原材料，具有良好的吸水性，透气性，具有抑菌作用。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包</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0.82元/包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彩色花纹硬纸盒</w:t>
            </w:r>
          </w:p>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包装抽纸</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用途：会议使用，必须提供心相印、洁柔、维达、清风等一线品牌纸品</w:t>
            </w:r>
          </w:p>
          <w:p>
            <w:pP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规格：190mm×210mm/抽（2层）</w:t>
            </w:r>
          </w:p>
          <w:p>
            <w:pP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净含量：200抽</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坚韧纸箱包装，每盒抽纸独立密封包装，包装开口撕拉开口、易打开，干净卫生，湿水不易烂。包装外观颜色淡雅，简洁大方。</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淡淡香味，纸巾表面有精美的压花，纸张采用原生木浆制造，不含荧光增白剂，安全无添加，具有良好的吸水性，透气性，韧性十足，不易拉断，纸巾密度均匀，柔软舒适，不能掉纸屑，不掉灰尘等杂质。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盒</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袋装抽纸</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规格：195mm×135mm/抽（3层）</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净含量：150抽/包</w:t>
            </w:r>
          </w:p>
          <w:p>
            <w:pPr>
              <w:ind w:firstLine="560" w:firstLineChars="200"/>
              <w:rPr>
                <w:rFonts w:hint="eastAsia"/>
                <w:sz w:val="28"/>
                <w:szCs w:val="28"/>
                <w:lang w:val="en-US" w:eastAsia="zh-CN"/>
              </w:rPr>
            </w:pPr>
            <w:r>
              <w:rPr>
                <w:rFonts w:hint="eastAsia" w:ascii="仿宋_GB2312" w:hAnsi="仿宋_GB2312" w:eastAsia="仿宋_GB2312" w:cs="仿宋_GB2312"/>
                <w:sz w:val="28"/>
                <w:szCs w:val="28"/>
                <w:lang w:val="en-US" w:eastAsia="zh-CN"/>
              </w:rPr>
              <w:t>坚韧纸箱包装，每包抽纸独立密封包装，包装开口撕拉开口、易打开，干净卫生，湿水不易烂。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细菌菌落总数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200</w:t>
            </w:r>
            <w:r>
              <w:rPr>
                <w:rFonts w:hint="eastAsia" w:ascii="仿宋_GB2312" w:hAnsi="仿宋_GB2312" w:eastAsia="仿宋_GB2312" w:cs="仿宋_GB2312"/>
                <w:sz w:val="28"/>
                <w:szCs w:val="28"/>
                <w:lang w:val="en-US" w:eastAsia="zh-CN"/>
              </w:rPr>
              <w:t xml:space="preserve"> CFU/g</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金黄色葡萄球菌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溶血性链球菌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绿脓菌</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真菌菌落总数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100 CFU / g</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纸巾表面有精美的压花，纸张采用原生木浆制造，不含荧光增白剂，安全无添加，具有良好的吸水性，透气性，韧性十足，不易拉断，纸巾密度均匀，柔软舒适，不能掉纸屑，不掉灰尘等杂质。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包</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3.3元/包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钱夹</w:t>
            </w:r>
          </w:p>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手帕纸</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用途：会议使用，必须提供心相印、洁柔、维达、清风等一线品牌纸品</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规格：190mm×210mm/抽（3层）</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净含量：8片/包</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每包抽纸独立钱夹式外包装，包装可反复贴合、易打开，干净卫生，湿水不易烂。包装采用素色外观，简洁大方。</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做洗面巾，淡淡香味，纸巾表面有精美的压花，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包</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0.8元/包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独立片状</w:t>
            </w:r>
          </w:p>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湿巾纸</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用途：会议使用，必须提供心相印、洁柔、维达、清风等一线品牌纸品</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无酒精、不刺激，</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规格：180×170mm</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10片/包（每片均具有独立包装）</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无纺布厚实柔韧，亲肤细腻，含丰富纯净水。</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w:t>
            </w:r>
            <w:r>
              <w:rPr>
                <w:rFonts w:hint="eastAsia" w:ascii="仿宋_GB2312" w:hAnsi="仿宋_GB2312" w:eastAsia="仿宋_GB2312" w:cs="仿宋_GB2312"/>
                <w:sz w:val="28"/>
                <w:szCs w:val="28"/>
              </w:rPr>
              <w:t>GB/T27728</w:t>
            </w:r>
            <w:r>
              <w:rPr>
                <w:rFonts w:hint="eastAsia" w:ascii="仿宋_GB2312" w:hAnsi="仿宋_GB2312" w:eastAsia="仿宋_GB2312" w:cs="仿宋_GB2312"/>
                <w:sz w:val="28"/>
                <w:szCs w:val="28"/>
                <w:lang w:val="en-US" w:eastAsia="zh-CN"/>
              </w:rPr>
              <w:t>湿巾纸标准。</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符合GB15979一次性使用卫生用品卫生标准。</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包</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2.79元/包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vAlign w:val="center"/>
          </w:tcPr>
          <w:p>
            <w:pPr>
              <w:pStyle w:val="22"/>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11</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大包带塑料盖湿纸巾</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用途：母婴休息室使用，必须提供心相印、洁柔、维达、清风等一线品牌纸品</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无酒精、不刺激，</w:t>
            </w:r>
          </w:p>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规格：180×200mm</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80抽/包（每包开口除可反复粘贴的封口，还要有可反复开合的塑料盖）</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无纺布厚实柔韧，亲肤细腻，含丰富纯净水，低敏配方，可直接接触婴儿皮肤。</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w:t>
            </w:r>
            <w:r>
              <w:rPr>
                <w:rFonts w:hint="eastAsia" w:ascii="仿宋_GB2312" w:hAnsi="仿宋_GB2312" w:eastAsia="仿宋_GB2312" w:cs="仿宋_GB2312"/>
                <w:sz w:val="28"/>
                <w:szCs w:val="28"/>
              </w:rPr>
              <w:t>GB/T27728</w:t>
            </w:r>
            <w:r>
              <w:rPr>
                <w:rFonts w:hint="eastAsia" w:ascii="仿宋_GB2312" w:hAnsi="仿宋_GB2312" w:eastAsia="仿宋_GB2312" w:cs="仿宋_GB2312"/>
                <w:sz w:val="28"/>
                <w:szCs w:val="28"/>
                <w:lang w:val="en-US" w:eastAsia="zh-CN"/>
              </w:rPr>
              <w:t>湿巾纸标准。</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符合GB15979一次性使用卫生用品卫生标准。</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包</w:t>
            </w:r>
          </w:p>
        </w:tc>
        <w:tc>
          <w:tcPr>
            <w:tcW w:w="1242"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14.9元/包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8" w:type="dxa"/>
            <w:vAlign w:val="center"/>
          </w:tcPr>
          <w:p>
            <w:pPr>
              <w:pStyle w:val="22"/>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12</w:t>
            </w:r>
          </w:p>
        </w:tc>
        <w:tc>
          <w:tcPr>
            <w:tcW w:w="1428"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单层加厚压花擦手纸</w:t>
            </w:r>
          </w:p>
        </w:tc>
        <w:tc>
          <w:tcPr>
            <w:tcW w:w="5134" w:type="dxa"/>
            <w:vAlign w:val="center"/>
          </w:tcPr>
          <w:p>
            <w:pPr>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严密纸箱包装，每包纸均有塑料袋严密分装，干净卫生，每包开口易撕扯。</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尺寸：每张纸展开后225mm×230mm/抽，每箱纸20包，每包纸200抽，单层加厚。</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纸巾表面有精美的浮点立体印花，纸张采用原生木浆制造，不含荧光增白剂，安全无添加，具有良好的吸水性，透气性，韧性十足，不易拉断，纸巾密度均匀，柔软舒适，不能掉纸屑，不掉灰尘等杂质。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包</w:t>
            </w:r>
          </w:p>
        </w:tc>
        <w:tc>
          <w:tcPr>
            <w:tcW w:w="1242" w:type="dxa"/>
            <w:vAlign w:val="center"/>
          </w:tcPr>
          <w:p>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5.25元/包</w:t>
            </w:r>
          </w:p>
        </w:tc>
      </w:tr>
    </w:tbl>
    <w:p>
      <w:pPr>
        <w:tabs>
          <w:tab w:val="left" w:pos="3120"/>
        </w:tabs>
        <w:spacing w:line="360" w:lineRule="auto"/>
        <w:ind w:firstLine="562" w:firstLineChars="200"/>
        <w:rPr>
          <w:rFonts w:hint="default" w:ascii="仿宋" w:hAnsi="仿宋" w:eastAsia="仿宋" w:cs="仿宋"/>
          <w:b/>
          <w:bCs w:val="0"/>
          <w:sz w:val="28"/>
          <w:szCs w:val="28"/>
          <w:lang w:val="en-US"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val="0"/>
          <w:sz w:val="28"/>
          <w:szCs w:val="28"/>
          <w:lang w:val="en-US" w:eastAsia="zh-CN"/>
        </w:rPr>
        <w:t>质量要求（技术要求）</w:t>
      </w:r>
    </w:p>
    <w:p>
      <w:pPr>
        <w:numPr>
          <w:ilvl w:val="0"/>
          <w:numId w:val="0"/>
        </w:numPr>
        <w:tabs>
          <w:tab w:val="left" w:pos="3120"/>
        </w:tabs>
        <w:spacing w:line="360"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供应商所提供的货物应等于或优于询价文件对货物技术参数要求，不得出现负偏离（纸品尺寸除外）。若询价文件中的技术要求无明确说明，则按国家有关部门及行业最新颁布的要求为准，包括货物售后质保期时间。货物必须符合或优于国家环保要求。</w:t>
      </w:r>
    </w:p>
    <w:p>
      <w:pPr>
        <w:pStyle w:val="22"/>
        <w:spacing w:line="360" w:lineRule="auto"/>
        <w:ind w:firstLine="560" w:firstLineChars="200"/>
        <w:rPr>
          <w:rFonts w:hint="eastAsia"/>
          <w:lang w:val="en-US" w:eastAsia="zh-CN"/>
        </w:rPr>
      </w:pPr>
      <w:r>
        <w:rPr>
          <w:rFonts w:hint="eastAsia" w:ascii="仿宋" w:hAnsi="仿宋" w:eastAsia="仿宋" w:cs="仿宋"/>
          <w:b w:val="0"/>
          <w:bCs w:val="0"/>
          <w:color w:val="auto"/>
          <w:sz w:val="28"/>
          <w:szCs w:val="28"/>
          <w:u w:val="single"/>
          <w:lang w:val="en-US" w:eastAsia="zh-CN"/>
        </w:rPr>
        <w:t>2、各类纸品尺寸允许偏离，但不能影响采购人正常使用，若尺寸不符合采购人使用习惯，供应商应对纸品进行换货。</w:t>
      </w:r>
    </w:p>
    <w:p>
      <w:pPr>
        <w:pStyle w:val="22"/>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lang w:val="en-US" w:eastAsia="zh-CN"/>
        </w:rPr>
        <w:t>3、供货时供应商应箱装并做好保护，破损由供应商补发。外包装为硬质箱装，外包装上有提手或提带，便于货物堆叠码放。</w:t>
      </w:r>
      <w:r>
        <w:rPr>
          <w:rFonts w:hint="eastAsia" w:ascii="仿宋" w:hAnsi="仿宋" w:eastAsia="仿宋" w:cs="仿宋"/>
          <w:sz w:val="28"/>
          <w:szCs w:val="28"/>
        </w:rPr>
        <w:t>产品运输包装标识应至少包括以下内容：﹣产品名称、商标：</w:t>
      </w:r>
    </w:p>
    <w:p>
      <w:pPr>
        <w:pStyle w:val="22"/>
        <w:spacing w:line="360" w:lineRule="auto"/>
        <w:rPr>
          <w:rFonts w:hint="eastAsia" w:ascii="仿宋" w:hAnsi="仿宋" w:eastAsia="仿宋" w:cs="仿宋"/>
          <w:sz w:val="28"/>
          <w:szCs w:val="28"/>
        </w:rPr>
      </w:pPr>
      <w:r>
        <w:rPr>
          <w:rFonts w:hint="eastAsia" w:ascii="仿宋" w:hAnsi="仿宋" w:eastAsia="仿宋" w:cs="仿宋"/>
          <w:sz w:val="28"/>
          <w:szCs w:val="28"/>
        </w:rPr>
        <w:t>生产企业（或产品责任单位）名称、地址等：产品数量；</w:t>
      </w:r>
    </w:p>
    <w:p>
      <w:pPr>
        <w:pStyle w:val="22"/>
        <w:spacing w:line="360" w:lineRule="auto"/>
        <w:rPr>
          <w:rFonts w:hint="eastAsia" w:ascii="仿宋" w:hAnsi="仿宋" w:eastAsia="仿宋" w:cs="仿宋"/>
          <w:sz w:val="28"/>
          <w:szCs w:val="28"/>
        </w:rPr>
      </w:pPr>
      <w:r>
        <w:rPr>
          <w:rFonts w:hint="eastAsia" w:ascii="仿宋" w:hAnsi="仿宋" w:eastAsia="仿宋" w:cs="仿宋"/>
          <w:sz w:val="28"/>
          <w:szCs w:val="28"/>
        </w:rPr>
        <w:t>纸</w:t>
      </w:r>
      <w:r>
        <w:rPr>
          <w:rFonts w:hint="eastAsia" w:ascii="仿宋" w:hAnsi="仿宋" w:eastAsia="仿宋" w:cs="仿宋"/>
          <w:sz w:val="28"/>
          <w:szCs w:val="28"/>
          <w:lang w:val="en-US" w:eastAsia="zh-CN"/>
        </w:rPr>
        <w:t>品</w:t>
      </w:r>
      <w:r>
        <w:rPr>
          <w:rFonts w:hint="eastAsia" w:ascii="仿宋" w:hAnsi="仿宋" w:eastAsia="仿宋" w:cs="仿宋"/>
          <w:sz w:val="28"/>
          <w:szCs w:val="28"/>
        </w:rPr>
        <w:t>包装应防尘、防潮和防毒等。</w:t>
      </w:r>
    </w:p>
    <w:p>
      <w:pPr>
        <w:pStyle w:val="22"/>
        <w:spacing w:line="360" w:lineRule="auto"/>
        <w:rPr>
          <w:rFonts w:hint="eastAsia" w:ascii="仿宋" w:hAnsi="仿宋" w:eastAsia="仿宋" w:cs="仿宋"/>
          <w:sz w:val="28"/>
          <w:szCs w:val="28"/>
        </w:rPr>
      </w:pPr>
      <w:r>
        <w:rPr>
          <w:rFonts w:hint="eastAsia" w:ascii="仿宋" w:hAnsi="仿宋" w:eastAsia="仿宋" w:cs="仿宋"/>
          <w:sz w:val="28"/>
          <w:szCs w:val="28"/>
        </w:rPr>
        <w:t>直接与产品接触的包装材料应无毒、无害、清洁。产品包装应完好，包装材料应具有足够的密封性和牢固性，以达到保证产品在正常的运输与贮存条件下不受污染的目的。</w:t>
      </w:r>
    </w:p>
    <w:p>
      <w:pPr>
        <w:pStyle w:val="22"/>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sz w:val="28"/>
          <w:szCs w:val="28"/>
        </w:rPr>
        <w:t>运输时应采用洁净的运输工具，防止成品污染。凡出厂的产品因运输、保管不妥造成产品损坏或变质的，应由</w:t>
      </w:r>
      <w:r>
        <w:rPr>
          <w:rFonts w:hint="eastAsia" w:ascii="仿宋" w:hAnsi="仿宋" w:eastAsia="仿宋" w:cs="仿宋"/>
          <w:sz w:val="28"/>
          <w:szCs w:val="28"/>
          <w:lang w:val="en-US" w:eastAsia="zh-CN"/>
        </w:rPr>
        <w:t>供应商</w:t>
      </w:r>
      <w:r>
        <w:rPr>
          <w:rFonts w:hint="eastAsia" w:ascii="仿宋" w:hAnsi="仿宋" w:eastAsia="仿宋" w:cs="仿宋"/>
          <w:sz w:val="28"/>
          <w:szCs w:val="28"/>
        </w:rPr>
        <w:t>负责</w:t>
      </w:r>
      <w:r>
        <w:rPr>
          <w:rFonts w:hint="eastAsia" w:ascii="仿宋" w:hAnsi="仿宋" w:eastAsia="仿宋" w:cs="仿宋"/>
          <w:sz w:val="28"/>
          <w:szCs w:val="28"/>
          <w:lang w:val="en-US" w:eastAsia="zh-CN"/>
        </w:rPr>
        <w:t>更换</w:t>
      </w:r>
      <w:r>
        <w:rPr>
          <w:rFonts w:hint="eastAsia" w:ascii="仿宋" w:hAnsi="仿宋" w:eastAsia="仿宋" w:cs="仿宋"/>
          <w:sz w:val="28"/>
          <w:szCs w:val="28"/>
        </w:rPr>
        <w:t>。</w:t>
      </w:r>
    </w:p>
    <w:p>
      <w:pPr>
        <w:pStyle w:val="22"/>
        <w:spacing w:line="360" w:lineRule="auto"/>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4、湿巾纸质保期2年，其余纸品质保期3年。</w:t>
      </w:r>
    </w:p>
    <w:p>
      <w:pPr>
        <w:pStyle w:val="22"/>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5、纸品</w:t>
      </w:r>
      <w:r>
        <w:rPr>
          <w:rFonts w:hint="eastAsia" w:ascii="仿宋" w:hAnsi="仿宋" w:eastAsia="仿宋" w:cs="仿宋"/>
          <w:sz w:val="28"/>
          <w:szCs w:val="28"/>
        </w:rPr>
        <w:t>亮度（白度）</w:t>
      </w:r>
      <w:r>
        <w:rPr>
          <w:rFonts w:hint="eastAsia" w:ascii="仿宋" w:hAnsi="仿宋" w:eastAsia="仿宋" w:cs="仿宋"/>
          <w:sz w:val="28"/>
          <w:szCs w:val="28"/>
          <w:lang w:val="en-US" w:eastAsia="zh-CN"/>
        </w:rPr>
        <w:t>要求符合国标（印花、本色纸不考虑白度）不得检出</w:t>
      </w:r>
      <w:r>
        <w:rPr>
          <w:rFonts w:hint="eastAsia" w:ascii="仿宋" w:hAnsi="仿宋" w:eastAsia="仿宋" w:cs="仿宋"/>
          <w:sz w:val="28"/>
          <w:szCs w:val="28"/>
        </w:rPr>
        <w:t>可迁移性荧光增白剂</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横向吸液高度</w:t>
      </w:r>
      <w:r>
        <w:rPr>
          <w:rFonts w:hint="eastAsia" w:ascii="仿宋" w:hAnsi="仿宋" w:eastAsia="仿宋" w:cs="仿宋"/>
          <w:sz w:val="28"/>
          <w:szCs w:val="28"/>
          <w:lang w:val="en-US" w:eastAsia="zh-CN"/>
        </w:rPr>
        <w:t>≥30 mm/100s；</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纵向湿抗张强度≥10.0 N / m </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柔软度纵横向平均</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220 mN </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细菌菌落总数</w:t>
      </w:r>
      <w:r>
        <w:rPr>
          <w:rFonts w:hint="eastAsia" w:ascii="仿宋" w:hAnsi="仿宋" w:eastAsia="仿宋" w:cs="仿宋"/>
          <w:sz w:val="28"/>
          <w:szCs w:val="28"/>
          <w:lang w:val="en-US" w:eastAsia="zh-CN"/>
        </w:rPr>
        <w:t>≤</w:t>
      </w:r>
      <w:r>
        <w:rPr>
          <w:rFonts w:hint="eastAsia" w:ascii="仿宋" w:hAnsi="仿宋" w:eastAsia="仿宋" w:cs="仿宋"/>
          <w:sz w:val="28"/>
          <w:szCs w:val="28"/>
        </w:rPr>
        <w:t>200</w:t>
      </w:r>
      <w:r>
        <w:rPr>
          <w:rFonts w:hint="eastAsia" w:ascii="仿宋" w:hAnsi="仿宋" w:eastAsia="仿宋" w:cs="仿宋"/>
          <w:sz w:val="28"/>
          <w:szCs w:val="28"/>
          <w:lang w:val="en-US" w:eastAsia="zh-CN"/>
        </w:rPr>
        <w:t xml:space="preserve"> CFU/g；</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真菌菌落总数</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100 CFU / g </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不得检出大肠菌群</w:t>
      </w:r>
      <w:r>
        <w:rPr>
          <w:rFonts w:hint="eastAsia" w:ascii="仿宋" w:hAnsi="仿宋" w:eastAsia="仿宋" w:cs="仿宋"/>
          <w:sz w:val="28"/>
          <w:szCs w:val="28"/>
          <w:lang w:eastAsia="zh-CN"/>
        </w:rPr>
        <w:t>、</w:t>
      </w:r>
      <w:r>
        <w:rPr>
          <w:rFonts w:hint="eastAsia" w:ascii="仿宋" w:hAnsi="仿宋" w:eastAsia="仿宋" w:cs="仿宋"/>
          <w:sz w:val="28"/>
          <w:szCs w:val="28"/>
        </w:rPr>
        <w:t>金黄色葡萄球菌</w:t>
      </w:r>
      <w:r>
        <w:rPr>
          <w:rFonts w:hint="eastAsia" w:ascii="仿宋" w:hAnsi="仿宋" w:eastAsia="仿宋" w:cs="仿宋"/>
          <w:sz w:val="28"/>
          <w:szCs w:val="28"/>
          <w:lang w:eastAsia="zh-CN"/>
        </w:rPr>
        <w:t>、</w:t>
      </w:r>
      <w:r>
        <w:rPr>
          <w:rFonts w:hint="eastAsia" w:ascii="仿宋" w:hAnsi="仿宋" w:eastAsia="仿宋" w:cs="仿宋"/>
          <w:sz w:val="28"/>
          <w:szCs w:val="28"/>
        </w:rPr>
        <w:t>溶血性链球菌</w:t>
      </w:r>
      <w:r>
        <w:rPr>
          <w:rFonts w:hint="eastAsia" w:ascii="仿宋" w:hAnsi="仿宋" w:eastAsia="仿宋" w:cs="仿宋"/>
          <w:sz w:val="28"/>
          <w:szCs w:val="28"/>
          <w:lang w:eastAsia="zh-CN"/>
        </w:rPr>
        <w:t>、</w:t>
      </w:r>
      <w:r>
        <w:rPr>
          <w:rFonts w:hint="eastAsia" w:ascii="仿宋" w:hAnsi="仿宋" w:eastAsia="仿宋" w:cs="仿宋"/>
          <w:sz w:val="28"/>
          <w:szCs w:val="28"/>
        </w:rPr>
        <w:t>绿脓菌</w:t>
      </w:r>
      <w:r>
        <w:rPr>
          <w:rFonts w:hint="eastAsia" w:ascii="仿宋" w:hAnsi="仿宋" w:eastAsia="仿宋" w:cs="仿宋"/>
          <w:sz w:val="28"/>
          <w:szCs w:val="28"/>
          <w:lang w:eastAsia="zh-CN"/>
        </w:rPr>
        <w:t>。</w:t>
      </w:r>
    </w:p>
    <w:p>
      <w:pPr>
        <w:pStyle w:val="22"/>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6、纸品</w:t>
      </w:r>
      <w:r>
        <w:rPr>
          <w:rFonts w:hint="eastAsia" w:ascii="仿宋" w:hAnsi="仿宋" w:eastAsia="仿宋" w:cs="仿宋"/>
          <w:sz w:val="28"/>
          <w:szCs w:val="28"/>
        </w:rPr>
        <w:t>外观必须整洁，符合该卫生用品固有性状，不得有异常气味与异物</w:t>
      </w:r>
      <w:r>
        <w:rPr>
          <w:rFonts w:hint="eastAsia" w:ascii="仿宋" w:hAnsi="仿宋" w:eastAsia="仿宋" w:cs="仿宋"/>
          <w:sz w:val="28"/>
          <w:szCs w:val="28"/>
          <w:lang w:eastAsia="zh-CN"/>
        </w:rPr>
        <w:t>，</w:t>
      </w:r>
      <w:r>
        <w:rPr>
          <w:rFonts w:hint="eastAsia" w:ascii="仿宋" w:hAnsi="仿宋" w:eastAsia="仿宋" w:cs="仿宋"/>
          <w:sz w:val="28"/>
          <w:szCs w:val="28"/>
        </w:rPr>
        <w:t>及其他缺陷</w:t>
      </w:r>
      <w:r>
        <w:rPr>
          <w:rFonts w:hint="eastAsia" w:ascii="仿宋" w:hAnsi="仿宋" w:eastAsia="仿宋" w:cs="仿宋"/>
          <w:sz w:val="28"/>
          <w:szCs w:val="28"/>
          <w:lang w:eastAsia="zh-CN"/>
        </w:rPr>
        <w:t>，</w:t>
      </w:r>
      <w:r>
        <w:rPr>
          <w:rFonts w:hint="eastAsia" w:ascii="仿宋" w:hAnsi="仿宋" w:eastAsia="仿宋" w:cs="仿宋"/>
          <w:sz w:val="28"/>
          <w:szCs w:val="28"/>
        </w:rPr>
        <w:t>不得对皮肤与粘膜产生不良刺激与过敏反应及其他损害作用。</w:t>
      </w:r>
    </w:p>
    <w:p>
      <w:pPr>
        <w:pStyle w:val="22"/>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纸品表面无油污、尘土、霉变及其他异物；</w:t>
      </w:r>
    </w:p>
    <w:p>
      <w:pPr>
        <w:pStyle w:val="22"/>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u w:val="single"/>
          <w:lang w:val="en-US" w:eastAsia="zh-CN"/>
        </w:rPr>
        <w:t>纸品表面平整洁净、质地均匀，无洞眼，用双手拿住单层纸品的两角迎光观测，每张样品不得出现大于5mm的洞眼。</w:t>
      </w:r>
    </w:p>
    <w:p>
      <w:pPr>
        <w:pStyle w:val="2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纸</w:t>
      </w:r>
      <w:r>
        <w:rPr>
          <w:rFonts w:hint="eastAsia" w:ascii="仿宋" w:hAnsi="仿宋" w:eastAsia="仿宋" w:cs="仿宋"/>
          <w:sz w:val="28"/>
          <w:szCs w:val="28"/>
          <w:lang w:val="en-US" w:eastAsia="zh-CN"/>
        </w:rPr>
        <w:t>品</w:t>
      </w:r>
      <w:r>
        <w:rPr>
          <w:rFonts w:hint="eastAsia" w:ascii="仿宋" w:hAnsi="仿宋" w:eastAsia="仿宋" w:cs="仿宋"/>
          <w:sz w:val="28"/>
          <w:szCs w:val="28"/>
        </w:rPr>
        <w:t>一般为平板或平切折叠。</w:t>
      </w:r>
    </w:p>
    <w:p>
      <w:pPr>
        <w:pStyle w:val="2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纸</w:t>
      </w:r>
      <w:r>
        <w:rPr>
          <w:rFonts w:hint="eastAsia" w:ascii="仿宋" w:hAnsi="仿宋" w:eastAsia="仿宋" w:cs="仿宋"/>
          <w:sz w:val="28"/>
          <w:szCs w:val="28"/>
          <w:lang w:val="en-US" w:eastAsia="zh-CN"/>
        </w:rPr>
        <w:t>品</w:t>
      </w:r>
      <w:r>
        <w:rPr>
          <w:rFonts w:hint="eastAsia" w:ascii="仿宋" w:hAnsi="仿宋" w:eastAsia="仿宋" w:cs="仿宋"/>
          <w:sz w:val="28"/>
          <w:szCs w:val="28"/>
        </w:rPr>
        <w:t>可压花、印花，</w:t>
      </w:r>
      <w:r>
        <w:rPr>
          <w:rFonts w:hint="eastAsia" w:ascii="仿宋" w:hAnsi="仿宋" w:eastAsia="仿宋" w:cs="仿宋"/>
          <w:sz w:val="28"/>
          <w:szCs w:val="28"/>
          <w:u w:val="single"/>
          <w:lang w:val="en-US" w:eastAsia="zh-CN"/>
        </w:rPr>
        <w:t>均要求为白</w:t>
      </w:r>
      <w:r>
        <w:rPr>
          <w:rFonts w:hint="eastAsia" w:ascii="仿宋" w:hAnsi="仿宋" w:eastAsia="仿宋" w:cs="仿宋"/>
          <w:sz w:val="28"/>
          <w:szCs w:val="28"/>
          <w:u w:val="single"/>
        </w:rPr>
        <w:t>色的纸巾纸</w:t>
      </w:r>
      <w:r>
        <w:rPr>
          <w:rFonts w:hint="eastAsia" w:ascii="仿宋" w:hAnsi="仿宋" w:eastAsia="仿宋" w:cs="仿宋"/>
          <w:sz w:val="28"/>
          <w:szCs w:val="28"/>
        </w:rPr>
        <w:t>，但不应使用有害染料。</w:t>
      </w:r>
    </w:p>
    <w:p>
      <w:pPr>
        <w:pStyle w:val="2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纸</w:t>
      </w:r>
      <w:r>
        <w:rPr>
          <w:rFonts w:hint="eastAsia" w:ascii="仿宋" w:hAnsi="仿宋" w:eastAsia="仿宋" w:cs="仿宋"/>
          <w:sz w:val="28"/>
          <w:szCs w:val="28"/>
          <w:lang w:val="en-US" w:eastAsia="zh-CN"/>
        </w:rPr>
        <w:t>品</w:t>
      </w:r>
      <w:r>
        <w:rPr>
          <w:rFonts w:hint="eastAsia" w:ascii="仿宋" w:hAnsi="仿宋" w:eastAsia="仿宋" w:cs="仿宋"/>
          <w:sz w:val="28"/>
          <w:szCs w:val="28"/>
        </w:rPr>
        <w:t>应洁净，皱纹应均匀细腻。不应有明显的死瘩、残块、破损、沙子、硬质块、生浆团等纸病。</w:t>
      </w:r>
    </w:p>
    <w:p>
      <w:pPr>
        <w:pStyle w:val="22"/>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纸</w:t>
      </w:r>
      <w:r>
        <w:rPr>
          <w:rFonts w:hint="eastAsia" w:ascii="仿宋" w:hAnsi="仿宋" w:eastAsia="仿宋" w:cs="仿宋"/>
          <w:sz w:val="28"/>
          <w:szCs w:val="28"/>
          <w:lang w:val="en-US" w:eastAsia="zh-CN"/>
        </w:rPr>
        <w:t>品</w:t>
      </w:r>
      <w:r>
        <w:rPr>
          <w:rFonts w:hint="eastAsia" w:ascii="仿宋" w:hAnsi="仿宋" w:eastAsia="仿宋" w:cs="仿宋"/>
          <w:sz w:val="28"/>
          <w:szCs w:val="28"/>
        </w:rPr>
        <w:t>不应有掉粉、掉毛现象，纸巾纸浸水后不应有脱色现象</w:t>
      </w:r>
      <w:r>
        <w:rPr>
          <w:rFonts w:hint="eastAsia" w:ascii="仿宋" w:hAnsi="仿宋" w:eastAsia="仿宋" w:cs="仿宋"/>
          <w:sz w:val="28"/>
          <w:szCs w:val="28"/>
          <w:lang w:eastAsia="zh-CN"/>
        </w:rPr>
        <w:t>。</w:t>
      </w:r>
    </w:p>
    <w:p>
      <w:pPr>
        <w:pStyle w:val="22"/>
        <w:spacing w:line="360" w:lineRule="auto"/>
        <w:ind w:firstLine="560" w:firstLineChars="200"/>
        <w:rPr>
          <w:rFonts w:hint="eastAsia" w:ascii="仿宋" w:hAnsi="仿宋" w:eastAsia="仿宋" w:cs="仿宋"/>
          <w:color w:val="auto"/>
          <w:spacing w:val="-5"/>
          <w:sz w:val="28"/>
          <w:szCs w:val="28"/>
          <w:highlight w:val="none"/>
          <w:lang w:val="en-US" w:eastAsia="zh-CN"/>
        </w:rPr>
      </w:pPr>
      <w:r>
        <w:rPr>
          <w:rFonts w:hint="eastAsia" w:ascii="仿宋" w:hAnsi="仿宋" w:eastAsia="仿宋" w:cs="仿宋"/>
          <w:sz w:val="28"/>
          <w:szCs w:val="28"/>
        </w:rPr>
        <w:t>纸</w:t>
      </w:r>
      <w:r>
        <w:rPr>
          <w:rFonts w:hint="eastAsia" w:ascii="仿宋" w:hAnsi="仿宋" w:eastAsia="仿宋" w:cs="仿宋"/>
          <w:sz w:val="28"/>
          <w:szCs w:val="28"/>
          <w:lang w:val="en-US" w:eastAsia="zh-CN"/>
        </w:rPr>
        <w:t>品</w:t>
      </w:r>
      <w:r>
        <w:rPr>
          <w:rFonts w:hint="eastAsia" w:ascii="仿宋" w:hAnsi="仿宋" w:eastAsia="仿宋" w:cs="仿宋"/>
          <w:sz w:val="28"/>
          <w:szCs w:val="28"/>
        </w:rPr>
        <w:t>不得使用有毒有害原料。纸巾纸应使用木材、竹子等原生纤维原料，不得使用任何回收纸、纸张印刷品、纸制品及其他回收纤维状物质作原料，不得使用脱墨剂。</w:t>
      </w: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pStyle w:val="36"/>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1、本项目采购总预算为</w:t>
      </w:r>
      <w:r>
        <w:rPr>
          <w:rFonts w:hint="eastAsia" w:ascii="仿宋" w:hAnsi="仿宋" w:eastAsia="仿宋" w:cs="仿宋"/>
          <w:sz w:val="28"/>
          <w:szCs w:val="28"/>
          <w:lang w:val="en-US" w:eastAsia="zh-CN"/>
        </w:rPr>
        <w:t>60650元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陆万零陆佰伍拾元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 。本项目总预算不变，供应商报价不报具体价格，以本项目货物单价最高限价的折扣率报价，本项目所有货物采购价格均按此报价折扣率执行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本次报价折扣率必须下降8%</w:t>
      </w:r>
      <w:r>
        <w:rPr>
          <w:rFonts w:hint="eastAsia" w:ascii="仿宋" w:hAnsi="仿宋" w:eastAsia="仿宋" w:cs="仿宋"/>
          <w:color w:val="auto"/>
          <w:sz w:val="28"/>
          <w:szCs w:val="28"/>
          <w:lang w:val="en-US" w:eastAsia="zh-CN"/>
        </w:rPr>
        <w:t>，否则视为无效报价。</w:t>
      </w:r>
      <w:r>
        <w:rPr>
          <w:rFonts w:hint="eastAsia" w:ascii="仿宋" w:hAnsi="仿宋" w:eastAsia="仿宋" w:cs="仿宋"/>
          <w:color w:val="auto"/>
          <w:sz w:val="28"/>
          <w:szCs w:val="28"/>
        </w:rPr>
        <w:t>项目合同履行期内折扣率不准变动。(注：折扣率必须是一个固定值，如</w:t>
      </w:r>
      <w:r>
        <w:rPr>
          <w:rFonts w:hint="eastAsia" w:ascii="仿宋" w:hAnsi="仿宋" w:eastAsia="仿宋" w:cs="仿宋"/>
          <w:color w:val="auto"/>
          <w:sz w:val="28"/>
          <w:szCs w:val="28"/>
          <w:lang w:val="en-US" w:eastAsia="zh-CN"/>
        </w:rPr>
        <w:t>92</w:t>
      </w:r>
      <w:r>
        <w:rPr>
          <w:rFonts w:hint="eastAsia" w:ascii="仿宋" w:hAnsi="仿宋" w:eastAsia="仿宋" w:cs="仿宋"/>
          <w:color w:val="auto"/>
          <w:sz w:val="28"/>
          <w:szCs w:val="28"/>
        </w:rPr>
        <w:t>%。不得为区间值，如以“85%-9</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%”进行报价，则将视为无效报价。)</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例：采购人当月需要的货物包括，</w:t>
      </w:r>
      <w:r>
        <w:rPr>
          <w:rFonts w:hint="eastAsia" w:ascii="仿宋" w:hAnsi="仿宋" w:eastAsia="仿宋" w:cs="仿宋"/>
          <w:color w:val="auto"/>
          <w:sz w:val="28"/>
          <w:szCs w:val="28"/>
          <w:lang w:val="en-US" w:eastAsia="zh-CN"/>
        </w:rPr>
        <w:t>1号货物</w:t>
      </w:r>
      <w:r>
        <w:rPr>
          <w:rFonts w:hint="eastAsia" w:ascii="仿宋" w:hAnsi="仿宋" w:eastAsia="仿宋" w:cs="仿宋"/>
          <w:color w:val="auto"/>
          <w:sz w:val="28"/>
          <w:szCs w:val="28"/>
        </w:rPr>
        <w:t>最高限价为</w:t>
      </w:r>
      <w:r>
        <w:rPr>
          <w:rFonts w:hint="eastAsia" w:ascii="仿宋" w:hAnsi="仿宋" w:eastAsia="仿宋" w:cs="仿宋"/>
          <w:color w:val="auto"/>
          <w:sz w:val="28"/>
          <w:szCs w:val="28"/>
          <w:lang w:eastAsia="zh-CN"/>
        </w:rPr>
        <w:t>X元/个</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2号货物</w:t>
      </w:r>
      <w:r>
        <w:rPr>
          <w:rFonts w:hint="eastAsia" w:ascii="仿宋" w:hAnsi="仿宋" w:eastAsia="仿宋" w:cs="仿宋"/>
          <w:color w:val="auto"/>
          <w:sz w:val="28"/>
          <w:szCs w:val="28"/>
        </w:rPr>
        <w:t>最高限价为</w:t>
      </w:r>
      <w:r>
        <w:rPr>
          <w:rFonts w:hint="eastAsia" w:ascii="仿宋" w:hAnsi="仿宋" w:eastAsia="仿宋" w:cs="仿宋"/>
          <w:color w:val="auto"/>
          <w:sz w:val="28"/>
          <w:szCs w:val="28"/>
          <w:lang w:eastAsia="zh-CN"/>
        </w:rPr>
        <w:t>X元/个</w:t>
      </w:r>
      <w:r>
        <w:rPr>
          <w:rFonts w:hint="eastAsia" w:ascii="仿宋" w:hAnsi="仿宋" w:eastAsia="仿宋" w:cs="仿宋"/>
          <w:color w:val="auto"/>
          <w:sz w:val="28"/>
          <w:szCs w:val="28"/>
        </w:rPr>
        <w:t>，货物采购数量以当月实际需要数量为准。</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若成交供应商报价折扣率为，则成交供应商当月结算金额为=</w:t>
      </w:r>
      <w:r>
        <w:rPr>
          <w:rFonts w:hint="eastAsia" w:ascii="仿宋" w:hAnsi="仿宋" w:eastAsia="仿宋" w:cs="仿宋"/>
          <w:color w:val="auto"/>
          <w:sz w:val="28"/>
          <w:szCs w:val="28"/>
          <w:lang w:val="en-US" w:eastAsia="zh-CN"/>
        </w:rPr>
        <w:t>1号货物</w:t>
      </w:r>
      <w:r>
        <w:rPr>
          <w:rFonts w:hint="eastAsia" w:ascii="仿宋" w:hAnsi="仿宋" w:eastAsia="仿宋" w:cs="仿宋"/>
          <w:color w:val="auto"/>
          <w:sz w:val="28"/>
          <w:szCs w:val="28"/>
        </w:rPr>
        <w:t>为</w:t>
      </w:r>
      <w:r>
        <w:rPr>
          <w:rFonts w:hint="eastAsia" w:ascii="仿宋" w:hAnsi="仿宋" w:eastAsia="仿宋" w:cs="仿宋"/>
          <w:color w:val="auto"/>
          <w:sz w:val="28"/>
          <w:szCs w:val="28"/>
          <w:lang w:eastAsia="zh-CN"/>
        </w:rPr>
        <w:t>X元/个</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w:t>
      </w:r>
      <w:r>
        <w:rPr>
          <w:rFonts w:hint="eastAsia" w:ascii="仿宋" w:hAnsi="仿宋" w:eastAsia="仿宋" w:cs="仿宋"/>
          <w:color w:val="auto"/>
          <w:spacing w:val="-14"/>
          <w:sz w:val="28"/>
          <w:szCs w:val="28"/>
          <w:lang w:eastAsia="zh-CN"/>
        </w:rPr>
        <w:t>92%</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pacing w:val="-14"/>
          <w:sz w:val="28"/>
          <w:szCs w:val="28"/>
          <w:lang w:val="en-US" w:eastAsia="zh-CN"/>
        </w:rPr>
        <w:t>2号货物</w:t>
      </w:r>
      <w:r>
        <w:rPr>
          <w:rFonts w:hint="eastAsia" w:ascii="仿宋" w:hAnsi="仿宋" w:eastAsia="仿宋" w:cs="仿宋"/>
          <w:color w:val="auto"/>
          <w:sz w:val="28"/>
          <w:szCs w:val="28"/>
        </w:rPr>
        <w:t>为</w:t>
      </w:r>
      <w:r>
        <w:rPr>
          <w:rFonts w:hint="eastAsia" w:ascii="仿宋" w:hAnsi="仿宋" w:eastAsia="仿宋" w:cs="仿宋"/>
          <w:color w:val="auto"/>
          <w:sz w:val="28"/>
          <w:szCs w:val="28"/>
          <w:lang w:eastAsia="zh-CN"/>
        </w:rPr>
        <w:t>X元/个</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w:t>
      </w:r>
      <w:r>
        <w:rPr>
          <w:rFonts w:hint="eastAsia" w:ascii="仿宋" w:hAnsi="仿宋" w:eastAsia="仿宋" w:cs="仿宋"/>
          <w:color w:val="auto"/>
          <w:spacing w:val="-14"/>
          <w:sz w:val="28"/>
          <w:szCs w:val="28"/>
          <w:lang w:eastAsia="zh-CN"/>
        </w:rPr>
        <w:t>92%</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rPr>
        <w:t>… N</w:t>
      </w:r>
      <w:r>
        <w:rPr>
          <w:rFonts w:hint="eastAsia" w:ascii="仿宋" w:hAnsi="仿宋" w:eastAsia="仿宋" w:cs="仿宋"/>
          <w:color w:val="auto"/>
          <w:sz w:val="28"/>
          <w:szCs w:val="28"/>
          <w:lang w:val="en-US" w:eastAsia="zh-CN"/>
        </w:rPr>
        <w:t>号</w:t>
      </w:r>
      <w:r>
        <w:rPr>
          <w:rFonts w:hint="eastAsia" w:ascii="仿宋" w:hAnsi="仿宋" w:eastAsia="仿宋" w:cs="仿宋"/>
          <w:color w:val="auto"/>
          <w:sz w:val="28"/>
          <w:szCs w:val="28"/>
        </w:rPr>
        <w:t>货物品名单价最高限价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lang w:eastAsia="zh-CN"/>
        </w:rPr>
        <w:t>92%</w:t>
      </w:r>
      <w:r>
        <w:rPr>
          <w:rFonts w:hint="eastAsia" w:ascii="仿宋" w:hAnsi="仿宋" w:eastAsia="仿宋" w:cs="仿宋"/>
          <w:color w:val="auto"/>
          <w:spacing w:val="-14"/>
          <w:sz w:val="28"/>
          <w:szCs w:val="28"/>
        </w:rPr>
        <w:t>×当月采购人实际需要数量。</w:t>
      </w:r>
    </w:p>
    <w:p>
      <w:pPr>
        <w:pStyle w:val="36"/>
        <w:spacing w:line="360" w:lineRule="auto"/>
        <w:ind w:firstLine="691" w:firstLineChars="247"/>
        <w:rPr>
          <w:rFonts w:hint="eastAsia" w:ascii="仿宋" w:hAnsi="仿宋" w:eastAsia="仿宋" w:cs="仿宋"/>
          <w:color w:val="auto"/>
          <w:sz w:val="28"/>
          <w:szCs w:val="28"/>
        </w:rPr>
      </w:pPr>
      <w:r>
        <w:rPr>
          <w:rFonts w:hint="eastAsia" w:ascii="仿宋" w:hAnsi="仿宋" w:eastAsia="仿宋" w:cs="仿宋"/>
          <w:color w:val="auto"/>
          <w:sz w:val="28"/>
          <w:szCs w:val="28"/>
        </w:rPr>
        <w:t>2、供应商所报的</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auto"/>
          <w:sz w:val="28"/>
          <w:szCs w:val="28"/>
          <w:lang w:val="en-US" w:eastAsia="zh-CN"/>
        </w:rPr>
        <w:t>搬运、</w:t>
      </w:r>
      <w:r>
        <w:rPr>
          <w:rFonts w:hint="eastAsia" w:ascii="仿宋" w:hAnsi="仿宋" w:eastAsia="仿宋" w:cs="仿宋"/>
          <w:color w:val="auto"/>
          <w:sz w:val="28"/>
          <w:szCs w:val="28"/>
        </w:rPr>
        <w:t>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、货物单价最高限价乘以供应商报价折扣率后的</w:t>
      </w:r>
      <w:r>
        <w:rPr>
          <w:rFonts w:hint="eastAsia" w:ascii="仿宋" w:hAnsi="仿宋" w:eastAsia="仿宋" w:cs="仿宋"/>
          <w:color w:val="auto"/>
          <w:kern w:val="0"/>
          <w:sz w:val="28"/>
          <w:szCs w:val="28"/>
          <w:u w:val="single"/>
          <w:lang w:val="en-US" w:eastAsia="zh-CN"/>
        </w:rPr>
        <w:t>四舍五入</w:t>
      </w:r>
      <w:r>
        <w:rPr>
          <w:rFonts w:hint="eastAsia" w:ascii="仿宋" w:hAnsi="仿宋" w:eastAsia="仿宋" w:cs="仿宋"/>
          <w:color w:val="auto"/>
          <w:kern w:val="0"/>
          <w:sz w:val="28"/>
          <w:szCs w:val="28"/>
          <w:u w:val="single"/>
        </w:rPr>
        <w:t>保留小数点后</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位的价格为各项货物实际供货价。</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货物</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pPr>
        <w:pStyle w:val="31"/>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pPr>
        <w:pStyle w:val="31"/>
        <w:spacing w:line="360" w:lineRule="auto"/>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五、抽样检验、处罚承担约定（技术要求）</w:t>
      </w:r>
    </w:p>
    <w:p>
      <w:pPr>
        <w:pStyle w:val="31"/>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1、双方签订采购合同后，在合同履行期内，若采购人使用科室反应货物存在质量问题，采购人将开展一次抽样检验，将对供应商所供所有品类的货物取样由具有资质的第三方检测机构按询价文件要求进行检测，</w:t>
      </w:r>
      <w:r>
        <w:rPr>
          <w:rFonts w:hint="eastAsia" w:ascii="仿宋" w:hAnsi="仿宋" w:eastAsia="仿宋" w:cs="仿宋"/>
          <w:color w:val="auto"/>
          <w:sz w:val="28"/>
          <w:szCs w:val="28"/>
          <w:u w:val="single"/>
          <w:lang w:val="en-US" w:eastAsia="zh-CN"/>
        </w:rPr>
        <w:t>该笔检测费用由成交供应商承担。若供应商货物的检测结果不符合询价文件要求，视为供应商违约，</w:t>
      </w:r>
      <w:r>
        <w:rPr>
          <w:rFonts w:hint="eastAsia" w:ascii="仿宋" w:hAnsi="仿宋" w:eastAsia="仿宋" w:cs="仿宋"/>
          <w:color w:val="auto"/>
          <w:sz w:val="28"/>
          <w:szCs w:val="28"/>
          <w:highlight w:val="none"/>
          <w:u w:val="single"/>
          <w:lang w:val="en-US" w:eastAsia="zh-CN"/>
        </w:rPr>
        <w:t>供应商向采购人支付成交总价20%的违约金，同时自愿解除合同</w:t>
      </w:r>
      <w:r>
        <w:rPr>
          <w:rFonts w:hint="eastAsia" w:ascii="仿宋" w:hAnsi="仿宋" w:eastAsia="仿宋" w:cs="仿宋"/>
          <w:color w:val="auto"/>
          <w:sz w:val="28"/>
          <w:szCs w:val="28"/>
          <w:highlight w:val="none"/>
          <w:lang w:val="en-US" w:eastAsia="zh-CN"/>
        </w:rPr>
        <w:t>。（供应商对此项提供承诺函，格式自理）</w:t>
      </w:r>
    </w:p>
    <w:p>
      <w:pPr>
        <w:pStyle w:val="31"/>
        <w:spacing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双方签订采购合同后，在合同履行期内，若成交供应商提供的货物质量不符合询价文件要求，</w:t>
      </w:r>
      <w:r>
        <w:rPr>
          <w:rFonts w:hint="eastAsia" w:ascii="仿宋" w:hAnsi="仿宋" w:eastAsia="仿宋" w:cs="仿宋"/>
          <w:color w:val="auto"/>
          <w:sz w:val="28"/>
          <w:szCs w:val="28"/>
          <w:u w:val="single"/>
          <w:lang w:val="en-US" w:eastAsia="zh-CN"/>
        </w:rPr>
        <w:t>视为供应商违约，</w:t>
      </w:r>
      <w:r>
        <w:rPr>
          <w:rFonts w:hint="eastAsia" w:ascii="仿宋" w:hAnsi="仿宋" w:eastAsia="仿宋" w:cs="仿宋"/>
          <w:color w:val="auto"/>
          <w:sz w:val="28"/>
          <w:szCs w:val="28"/>
          <w:highlight w:val="none"/>
          <w:u w:val="single"/>
          <w:lang w:val="en-US" w:eastAsia="zh-CN"/>
        </w:rPr>
        <w:t>供应商向采购人支付成交总价20%的违约金，同时自愿解除合同。</w:t>
      </w:r>
      <w:r>
        <w:rPr>
          <w:rFonts w:hint="eastAsia" w:ascii="仿宋" w:hAnsi="仿宋" w:eastAsia="仿宋" w:cs="仿宋"/>
          <w:color w:val="auto"/>
          <w:sz w:val="28"/>
          <w:szCs w:val="28"/>
          <w:u w:val="single"/>
        </w:rPr>
        <w:t>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color w:val="auto"/>
          <w:sz w:val="28"/>
          <w:szCs w:val="28"/>
          <w:u w:val="none"/>
        </w:rPr>
        <w:t>。</w:t>
      </w:r>
      <w:r>
        <w:rPr>
          <w:rFonts w:hint="eastAsia" w:ascii="仿宋" w:hAnsi="仿宋" w:eastAsia="仿宋" w:cs="仿宋"/>
          <w:color w:val="auto"/>
          <w:sz w:val="28"/>
          <w:szCs w:val="28"/>
          <w:highlight w:val="none"/>
          <w:lang w:val="en-US" w:eastAsia="zh-CN"/>
        </w:rPr>
        <w:t>（供应商对此项提供承诺函，格式自理）</w:t>
      </w:r>
    </w:p>
    <w:p>
      <w:pPr>
        <w:pStyle w:val="31"/>
        <w:spacing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若</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所供</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经国家</w:t>
      </w:r>
      <w:r>
        <w:rPr>
          <w:rFonts w:hint="eastAsia" w:ascii="仿宋" w:hAnsi="仿宋" w:eastAsia="仿宋" w:cs="仿宋"/>
          <w:color w:val="auto"/>
          <w:sz w:val="28"/>
          <w:szCs w:val="28"/>
          <w:lang w:val="en-US" w:eastAsia="zh-CN"/>
        </w:rPr>
        <w:t>行政</w:t>
      </w:r>
      <w:r>
        <w:rPr>
          <w:rFonts w:hint="eastAsia" w:ascii="仿宋" w:hAnsi="仿宋" w:eastAsia="仿宋" w:cs="仿宋"/>
          <w:color w:val="auto"/>
          <w:sz w:val="28"/>
          <w:szCs w:val="28"/>
        </w:rPr>
        <w:t>部门检查判定为不</w:t>
      </w:r>
      <w:r>
        <w:rPr>
          <w:rFonts w:hint="eastAsia" w:ascii="仿宋" w:hAnsi="仿宋" w:eastAsia="仿宋" w:cs="仿宋"/>
          <w:color w:val="auto"/>
          <w:sz w:val="28"/>
          <w:szCs w:val="28"/>
          <w:lang w:val="en-US" w:eastAsia="zh-CN"/>
        </w:rPr>
        <w:t>符合国家相关标准</w:t>
      </w:r>
      <w:r>
        <w:rPr>
          <w:rFonts w:hint="eastAsia" w:ascii="仿宋" w:hAnsi="仿宋" w:eastAsia="仿宋" w:cs="仿宋"/>
          <w:color w:val="auto"/>
          <w:sz w:val="28"/>
          <w:szCs w:val="28"/>
        </w:rPr>
        <w:t>，导致</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因使用</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不</w:t>
      </w:r>
      <w:r>
        <w:rPr>
          <w:rFonts w:hint="eastAsia" w:ascii="仿宋" w:hAnsi="仿宋" w:eastAsia="仿宋" w:cs="仿宋"/>
          <w:color w:val="auto"/>
          <w:sz w:val="28"/>
          <w:szCs w:val="28"/>
          <w:lang w:val="en-US" w:eastAsia="zh-CN"/>
        </w:rPr>
        <w:t>符合国家相关标准的货物而</w:t>
      </w:r>
      <w:r>
        <w:rPr>
          <w:rFonts w:hint="eastAsia" w:ascii="仿宋" w:hAnsi="仿宋" w:eastAsia="仿宋" w:cs="仿宋"/>
          <w:color w:val="auto"/>
          <w:sz w:val="28"/>
          <w:szCs w:val="28"/>
        </w:rPr>
        <w:t>遭受国家相关部门处罚，所产生的罚款</w:t>
      </w:r>
      <w:r>
        <w:rPr>
          <w:rFonts w:hint="eastAsia" w:ascii="仿宋" w:hAnsi="仿宋" w:eastAsia="仿宋" w:cs="仿宋"/>
          <w:color w:val="auto"/>
          <w:sz w:val="28"/>
          <w:szCs w:val="28"/>
          <w:lang w:val="en-US" w:eastAsia="zh-CN"/>
        </w:rPr>
        <w:t>和法律责任</w:t>
      </w:r>
      <w:r>
        <w:rPr>
          <w:rFonts w:hint="eastAsia" w:ascii="仿宋" w:hAnsi="仿宋" w:eastAsia="仿宋" w:cs="仿宋"/>
          <w:color w:val="auto"/>
          <w:sz w:val="28"/>
          <w:szCs w:val="28"/>
        </w:rPr>
        <w:t>全部由</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负责承担</w:t>
      </w:r>
      <w:r>
        <w:rPr>
          <w:rFonts w:hint="eastAsia" w:ascii="仿宋" w:hAnsi="仿宋" w:eastAsia="仿宋" w:cs="仿宋"/>
          <w:color w:val="auto"/>
          <w:sz w:val="28"/>
          <w:szCs w:val="28"/>
          <w:lang w:val="en-US" w:eastAsia="zh-CN"/>
        </w:rPr>
        <w:t>和缴纳</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lang w:val="en-US" w:eastAsia="zh-CN"/>
        </w:rPr>
        <w:t>（供应商对此项提供承诺函，格式自理）</w:t>
      </w:r>
    </w:p>
    <w:p>
      <w:pPr>
        <w:pStyle w:val="31"/>
        <w:spacing w:line="360" w:lineRule="auto"/>
        <w:ind w:firstLine="56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六、其他要求（技术要求）</w:t>
      </w:r>
    </w:p>
    <w:p>
      <w:pPr>
        <w:pStyle w:val="36"/>
        <w:spacing w:line="360" w:lineRule="auto"/>
        <w:ind w:firstLine="56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、本项目采用分批供货方式供货，本合同履行期内采购人</w:t>
      </w:r>
      <w:r>
        <w:rPr>
          <w:rFonts w:hint="eastAsia" w:ascii="仿宋" w:hAnsi="仿宋" w:eastAsia="仿宋" w:cs="仿宋"/>
          <w:color w:val="auto"/>
          <w:kern w:val="0"/>
          <w:sz w:val="28"/>
          <w:szCs w:val="28"/>
          <w:lang w:val="en-US" w:eastAsia="zh-CN"/>
        </w:rPr>
        <w:t>电话通知</w:t>
      </w:r>
      <w:r>
        <w:rPr>
          <w:rFonts w:hint="eastAsia" w:ascii="仿宋" w:hAnsi="仿宋" w:eastAsia="仿宋" w:cs="仿宋"/>
          <w:color w:val="auto"/>
          <w:kern w:val="0"/>
          <w:sz w:val="28"/>
          <w:szCs w:val="28"/>
        </w:rPr>
        <w:t>供应商送货时间、货物品名、货物数量、型号规格、配送地点等。供应商接采购人通知送货，不论采购人货物需求规模大小，供应商均应保证按时按质供货。采购人可作采购数量增减调整，供应商不得提出附加条件。</w:t>
      </w:r>
    </w:p>
    <w:p>
      <w:pPr>
        <w:pStyle w:val="2"/>
        <w:spacing w:line="360" w:lineRule="auto"/>
        <w:ind w:firstLine="560" w:firstLineChars="200"/>
        <w:rPr>
          <w:rFonts w:hint="default"/>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交货时间</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接采购人通知后，48小时内将该批次货物送达到采购人院内指定地点。</w:t>
      </w:r>
    </w:p>
    <w:p>
      <w:pPr>
        <w:pStyle w:val="3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货物送达指定地点由供应商承担货物装卸、搬运上楼、堆叠码放费用</w:t>
      </w:r>
      <w:r>
        <w:rPr>
          <w:rFonts w:hint="eastAsia" w:ascii="仿宋" w:hAnsi="仿宋" w:eastAsia="仿宋" w:cs="仿宋"/>
          <w:color w:val="auto"/>
          <w:sz w:val="28"/>
          <w:szCs w:val="28"/>
        </w:rPr>
        <w:t>。供应商提供的给采购人的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配送到采购人指定位置时，其</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距离失效期必须剩余该商品整个保质期限三分之二以上的时间</w:t>
      </w:r>
      <w:r>
        <w:rPr>
          <w:rFonts w:hint="eastAsia" w:ascii="仿宋" w:hAnsi="仿宋" w:eastAsia="仿宋" w:cs="仿宋"/>
          <w:color w:val="auto"/>
          <w:sz w:val="28"/>
          <w:szCs w:val="28"/>
          <w:lang w:val="en-US" w:eastAsia="zh-CN"/>
        </w:rPr>
        <w:t>且不低于半年</w:t>
      </w:r>
      <w:r>
        <w:rPr>
          <w:rFonts w:hint="eastAsia" w:ascii="仿宋" w:hAnsi="仿宋" w:eastAsia="仿宋" w:cs="仿宋"/>
          <w:color w:val="auto"/>
          <w:sz w:val="28"/>
          <w:szCs w:val="28"/>
        </w:rPr>
        <w:t>。</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供应商应每次随货附销售单据。销售单据所记录的数据应与实际供货的品名、规格型号、数量、单价、金额等一致。货物验收时验收记录单据应当由采购人签字认可。</w:t>
      </w:r>
    </w:p>
    <w:p>
      <w:pPr>
        <w:pStyle w:val="36"/>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发到配送站或快递点，让采购人自己负责联系配送站配送及后续收货工作，在院内苦等配送站工作人员，造成工作时间浪费。）未提供全流程服务视为供应商违约。供应商不得随意变更接洽人员。</w:t>
      </w:r>
    </w:p>
    <w:p>
      <w:pPr>
        <w:pStyle w:val="36"/>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提供合同履约期间货物会计数据统计工作，每月以电子文档形式将当月所有配送货物的时间、品名、规格、数量、单价、金额、所属科室等数据发送至采购人相关工作人员存档。</w:t>
      </w:r>
    </w:p>
    <w:p>
      <w:pPr>
        <w:pStyle w:val="3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、提供因货物</w:t>
      </w:r>
      <w:r>
        <w:rPr>
          <w:rFonts w:hint="eastAsia" w:ascii="仿宋" w:hAnsi="仿宋" w:eastAsia="仿宋" w:cs="仿宋"/>
          <w:color w:val="auto"/>
          <w:sz w:val="28"/>
          <w:szCs w:val="28"/>
          <w:lang w:val="en-US" w:eastAsia="zh-CN"/>
        </w:rPr>
        <w:t>不符合询价文件要求</w:t>
      </w:r>
      <w:r>
        <w:rPr>
          <w:rFonts w:hint="eastAsia" w:ascii="仿宋" w:hAnsi="仿宋" w:eastAsia="仿宋" w:cs="仿宋"/>
          <w:color w:val="auto"/>
          <w:sz w:val="28"/>
          <w:szCs w:val="28"/>
        </w:rPr>
        <w:t>产生的上门货物退换服务。</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派工作人员</w:t>
      </w:r>
      <w:r>
        <w:rPr>
          <w:rFonts w:hint="eastAsia" w:ascii="仿宋" w:hAnsi="仿宋" w:eastAsia="仿宋" w:cs="仿宋"/>
          <w:color w:val="auto"/>
          <w:sz w:val="28"/>
          <w:szCs w:val="28"/>
        </w:rPr>
        <w:t>到采购人指定的院内地点和采购人指定人员对接，按采购人工作人员诉求按时提供</w:t>
      </w:r>
      <w:r>
        <w:rPr>
          <w:rFonts w:hint="eastAsia" w:ascii="仿宋" w:hAnsi="仿宋" w:eastAsia="仿宋" w:cs="仿宋"/>
          <w:color w:val="auto"/>
          <w:sz w:val="28"/>
          <w:szCs w:val="28"/>
          <w:lang w:val="en-US" w:eastAsia="zh-CN"/>
        </w:rPr>
        <w:t>解释和货物退换</w:t>
      </w:r>
      <w:r>
        <w:rPr>
          <w:rFonts w:hint="eastAsia" w:ascii="仿宋" w:hAnsi="仿宋" w:eastAsia="仿宋" w:cs="仿宋"/>
          <w:color w:val="auto"/>
          <w:sz w:val="28"/>
          <w:szCs w:val="28"/>
        </w:rPr>
        <w:t>服务，供应商在履约过程中，不得引起采购人工作人员投诉，经采购人核实确为供应商原因造成的采购人工作人员投诉的，视为供应商违约。供应商对现场不能提供的服务，要做好解释工作。</w:t>
      </w:r>
    </w:p>
    <w:p>
      <w:pPr>
        <w:pStyle w:val="37"/>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、供应商需要根据采购人的日常工作使用情况做好货物的备品工作，确保货源稳定，</w:t>
      </w:r>
      <w:r>
        <w:rPr>
          <w:rFonts w:hint="eastAsia" w:ascii="仿宋" w:hAnsi="仿宋" w:eastAsia="仿宋" w:cs="仿宋"/>
          <w:color w:val="auto"/>
          <w:sz w:val="28"/>
          <w:szCs w:val="28"/>
          <w:lang w:val="en-US" w:eastAsia="zh-CN"/>
        </w:rPr>
        <w:t>节假日</w:t>
      </w:r>
      <w:r>
        <w:rPr>
          <w:rFonts w:hint="eastAsia" w:ascii="仿宋" w:hAnsi="仿宋" w:eastAsia="仿宋" w:cs="仿宋"/>
          <w:color w:val="auto"/>
          <w:sz w:val="28"/>
          <w:szCs w:val="28"/>
        </w:rPr>
        <w:t>不能断供。</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val="en-US"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p>
    <w:p>
      <w:pPr>
        <w:pStyle w:val="38"/>
        <w:spacing w:line="360" w:lineRule="auto"/>
        <w:ind w:left="420" w:leftChars="200" w:firstLine="281" w:firstLineChars="1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七、商务要求</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（一）合同的履行期限</w:t>
      </w:r>
    </w:p>
    <w:p>
      <w:pPr>
        <w:pStyle w:val="31"/>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双方签订采购合同生效之日起，至</w:t>
      </w:r>
      <w:r>
        <w:rPr>
          <w:rFonts w:hint="eastAsia" w:ascii="仿宋" w:hAnsi="仿宋" w:eastAsia="仿宋" w:cs="仿宋"/>
          <w:color w:val="auto"/>
          <w:sz w:val="28"/>
          <w:szCs w:val="28"/>
        </w:rPr>
        <w:t>本项目货物采购总金额达到本项目总成交金额</w:t>
      </w:r>
      <w:r>
        <w:rPr>
          <w:rFonts w:hint="eastAsia" w:ascii="仿宋" w:hAnsi="仿宋" w:eastAsia="仿宋" w:cs="仿宋"/>
          <w:color w:val="auto"/>
          <w:sz w:val="28"/>
          <w:szCs w:val="28"/>
          <w:lang w:val="en-US" w:eastAsia="zh-CN"/>
        </w:rPr>
        <w:t>截止</w:t>
      </w:r>
      <w:r>
        <w:rPr>
          <w:rFonts w:hint="eastAsia" w:ascii="仿宋" w:hAnsi="仿宋" w:eastAsia="仿宋" w:cs="仿宋"/>
          <w:color w:val="auto"/>
          <w:sz w:val="28"/>
          <w:szCs w:val="28"/>
        </w:rPr>
        <w:t>。</w:t>
      </w:r>
    </w:p>
    <w:p>
      <w:pPr>
        <w:pStyle w:val="31"/>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6"/>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 w:val="0"/>
          <w:bCs/>
          <w:color w:val="auto"/>
          <w:sz w:val="28"/>
          <w:szCs w:val="28"/>
        </w:rPr>
        <w:t>（二）项目履行地点：大竹县人民医院院内指定地点。</w:t>
      </w:r>
      <w:r>
        <w:rPr>
          <w:rFonts w:hint="eastAsia" w:ascii="仿宋" w:hAnsi="仿宋" w:eastAsia="仿宋" w:cs="仿宋"/>
          <w:b w:val="0"/>
          <w:bCs/>
          <w:sz w:val="28"/>
          <w:szCs w:val="28"/>
          <w:u w:val="none"/>
          <w:lang w:val="en-US" w:eastAsia="zh-CN"/>
        </w:rPr>
        <w:t>货物交付采购人之前，货物的损毁、灭失风险由供应商承担。</w:t>
      </w:r>
      <w:r>
        <w:rPr>
          <w:rFonts w:hint="eastAsia" w:ascii="仿宋" w:hAnsi="仿宋" w:eastAsia="仿宋" w:cs="仿宋"/>
          <w:b w:val="0"/>
          <w:bCs/>
          <w:color w:val="auto"/>
          <w:sz w:val="28"/>
          <w:szCs w:val="28"/>
          <w:highlight w:val="none"/>
          <w:u w:val="none"/>
          <w:lang w:val="en-US" w:eastAsia="zh-CN"/>
        </w:rPr>
        <w:t>货物配送</w:t>
      </w:r>
      <w:r>
        <w:rPr>
          <w:rFonts w:hint="eastAsia" w:ascii="仿宋" w:hAnsi="仿宋" w:eastAsia="仿宋" w:cs="仿宋"/>
          <w:b w:val="0"/>
          <w:bCs/>
          <w:color w:val="auto"/>
          <w:sz w:val="28"/>
          <w:szCs w:val="28"/>
          <w:highlight w:val="none"/>
          <w:lang w:val="en-US" w:eastAsia="zh-CN"/>
        </w:rPr>
        <w:t>上楼到采购人院内指定地点与采购人进行交接。</w:t>
      </w:r>
    </w:p>
    <w:p>
      <w:pPr>
        <w:pStyle w:val="36"/>
        <w:spacing w:line="360" w:lineRule="auto"/>
        <w:ind w:left="630" w:left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（三）项目付款方式</w:t>
      </w:r>
      <w:r>
        <w:rPr>
          <w:rFonts w:hint="eastAsia" w:ascii="仿宋" w:hAnsi="仿宋" w:eastAsia="仿宋" w:cs="仿宋"/>
          <w:color w:val="auto"/>
          <w:sz w:val="28"/>
          <w:szCs w:val="28"/>
          <w:lang w:val="en-US" w:eastAsia="zh-CN"/>
        </w:rPr>
        <w:t>及验收方式</w:t>
      </w:r>
    </w:p>
    <w:p>
      <w:pPr>
        <w:pStyle w:val="36"/>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1、合同履行期间，本项目采购总金额在达到项目成交总金额前，采购人和成交供应商每月核算一次成交供应商所供货物采购数量和金额。</w:t>
      </w:r>
    </w:p>
    <w:p>
      <w:pPr>
        <w:pStyle w:val="36"/>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每月28号前，成交供应商应完成与采购人当月货款的核算工作。成交供应商提供合同履约期间货物会计数据统计的电子文档给采购人存档。</w:t>
      </w:r>
    </w:p>
    <w:p>
      <w:pPr>
        <w:pStyle w:val="37"/>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2、采购人采用银行转账方式付款，采购人付款前，成交供应商必须提供货物</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给采购人核对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pPr>
        <w:pStyle w:val="37"/>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lang w:eastAsia="zh-CN"/>
        </w:rPr>
        <w:t>以及采购</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要求</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开展</w:t>
      </w:r>
      <w:r>
        <w:rPr>
          <w:rFonts w:hint="eastAsia" w:ascii="仿宋" w:hAnsi="仿宋" w:eastAsia="仿宋" w:cs="仿宋"/>
          <w:color w:val="auto"/>
          <w:sz w:val="28"/>
          <w:szCs w:val="28"/>
        </w:rPr>
        <w:t>验收工作。</w:t>
      </w:r>
    </w:p>
    <w:p>
      <w:pPr>
        <w:pStyle w:val="31"/>
        <w:spacing w:line="360" w:lineRule="auto"/>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（四）货物包装、运输要求</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供应商须提供全新的货物，符合国家相关质量标准、技术标准、安全认证和合同要求，且应保证货物是全新、未使用过的原厂原包装合格正品，外包装表面无划伤、无碰撞痕迹，包装上必须标明品名、规格、生产厂家、出厂日期</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 xml:space="preserve">质保期。 </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31"/>
        <w:spacing w:line="360" w:lineRule="auto"/>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（五）售后服务要求</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在质保期内出现质量问题，供应商应在</w:t>
      </w:r>
      <w:r>
        <w:rPr>
          <w:rFonts w:hint="eastAsia" w:ascii="仿宋" w:hAnsi="仿宋" w:eastAsia="仿宋" w:cs="仿宋"/>
          <w:color w:val="auto"/>
          <w:sz w:val="28"/>
          <w:szCs w:val="28"/>
          <w:lang w:val="en-US" w:eastAsia="zh-CN"/>
        </w:rPr>
        <w:t>采购人通知后48</w:t>
      </w:r>
      <w:r>
        <w:rPr>
          <w:rFonts w:hint="eastAsia" w:ascii="仿宋" w:hAnsi="仿宋" w:eastAsia="仿宋" w:cs="仿宋"/>
          <w:color w:val="auto"/>
          <w:sz w:val="28"/>
          <w:szCs w:val="28"/>
        </w:rPr>
        <w:t>小时内将货物更换，货物更换必须是等于或优于询价文件要求的。</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31"/>
        <w:spacing w:line="360" w:lineRule="auto"/>
        <w:ind w:firstLine="422" w:firstLineChars="150"/>
        <w:rPr>
          <w:rFonts w:hint="eastAsia" w:ascii="仿宋" w:hAnsi="仿宋" w:eastAsia="仿宋" w:cs="仿宋"/>
          <w:b/>
          <w:bCs/>
          <w:color w:val="auto"/>
          <w:sz w:val="28"/>
          <w:szCs w:val="28"/>
        </w:rPr>
      </w:pPr>
      <w:r>
        <w:rPr>
          <w:rFonts w:hint="eastAsia" w:ascii="仿宋" w:hAnsi="仿宋" w:eastAsia="仿宋" w:cs="仿宋"/>
          <w:b/>
          <w:bCs/>
          <w:color w:val="auto"/>
          <w:sz w:val="28"/>
          <w:szCs w:val="28"/>
        </w:rPr>
        <w:t>（六）违约责任</w:t>
      </w:r>
    </w:p>
    <w:p>
      <w:pPr>
        <w:pStyle w:val="36"/>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严格按照国家相关法律法规和本询价文件要求及供应商提交的响应文件约定履行合同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p>
    <w:p>
      <w:pPr>
        <w:pStyle w:val="36"/>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合同编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pPr>
        <w:pStyle w:val="36"/>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pPr>
        <w:pStyle w:val="36"/>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pPr>
        <w:pStyle w:val="36"/>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（2）成交供应商提供的货物或服务根本违约（例如提供假冒伪劣产品或以次充好），</w:t>
      </w:r>
      <w:r>
        <w:rPr>
          <w:rFonts w:hint="eastAsia" w:ascii="仿宋" w:hAnsi="仿宋" w:eastAsia="仿宋" w:cs="仿宋"/>
          <w:b w:val="0"/>
          <w:bCs w:val="0"/>
          <w:color w:val="auto"/>
          <w:kern w:val="2"/>
          <w:sz w:val="28"/>
          <w:szCs w:val="28"/>
          <w:highlight w:val="none"/>
        </w:rPr>
        <w:t>致使合同的目的不能实现的，</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p>
    <w:p>
      <w:pPr>
        <w:pStyle w:val="36"/>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提供的货物及服务未按合同约定时间达成的，成交供应商每有一次违约行为，采购人将扣除成交供应商当月结算货款200元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若供应商经催告后又延迟履约一个交货周期2天，则</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pPr>
        <w:pStyle w:val="36"/>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rPr>
        <w:t>（4）成交供应商所供的货物或服务瑕疵违约，与询价文件要求或采购人采购需求不符的，成交供应商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承担修理、重作、更换、退货、减少价款或者报酬等违约责任。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同时成交供应商每有一次违约行为，采购人将扣除成交供应商当月结算货款500元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次本款所列违约行为，成交供应商应向采购人支付合同总价款10%的违约金，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pPr>
        <w:pStyle w:val="31"/>
        <w:spacing w:line="360" w:lineRule="auto"/>
        <w:ind w:firstLine="560"/>
        <w:rPr>
          <w:rFonts w:ascii="仿宋" w:hAnsi="仿宋" w:eastAsia="仿宋" w:cs="仿宋"/>
          <w:b/>
          <w:sz w:val="28"/>
          <w:szCs w:val="28"/>
        </w:rPr>
      </w:pPr>
      <w:r>
        <w:rPr>
          <w:rFonts w:hint="eastAsia" w:ascii="仿宋" w:hAnsi="仿宋" w:eastAsia="仿宋" w:cs="仿宋"/>
          <w:color w:val="auto"/>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6" w:name="★4.4_违约处理"/>
      <w:bookmarkEnd w:id="26"/>
    </w:p>
    <w:p>
      <w:pPr>
        <w:pStyle w:val="31"/>
        <w:spacing w:line="360" w:lineRule="auto"/>
        <w:ind w:firstLine="562"/>
        <w:rPr>
          <w:rFonts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hint="eastAsia"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w:t>
      </w:r>
      <w:r>
        <w:rPr>
          <w:rFonts w:hint="eastAsia" w:ascii="仿宋" w:hAnsi="仿宋" w:eastAsia="仿宋" w:cs="仿宋"/>
          <w:b/>
          <w:spacing w:val="78"/>
          <w:sz w:val="36"/>
          <w:szCs w:val="36"/>
          <w:lang w:val="en-US" w:eastAsia="zh-CN"/>
        </w:rPr>
        <w:t>封面</w:t>
      </w:r>
      <w:r>
        <w:rPr>
          <w:rFonts w:hint="eastAsia" w:ascii="仿宋" w:hAnsi="仿宋" w:eastAsia="仿宋" w:cs="仿宋"/>
          <w:b/>
          <w:spacing w:val="78"/>
          <w:sz w:val="36"/>
          <w:szCs w:val="36"/>
        </w:rPr>
        <w:t>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1"/>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fmt="decimal"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1"/>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w:t>
      </w:r>
      <w:r>
        <w:rPr>
          <w:rFonts w:hint="eastAsia" w:ascii="仿宋" w:hAnsi="仿宋" w:eastAsia="仿宋" w:cs="仿宋"/>
          <w:sz w:val="28"/>
          <w:szCs w:val="28"/>
          <w:lang w:val="en-US" w:eastAsia="zh-CN"/>
        </w:rPr>
        <w:t>【】</w:t>
      </w:r>
      <w:r>
        <w:rPr>
          <w:rFonts w:hint="eastAsia" w:ascii="仿宋" w:hAnsi="仿宋" w:eastAsia="仿宋" w:cs="仿宋"/>
          <w:sz w:val="28"/>
          <w:szCs w:val="28"/>
        </w:rPr>
        <w:t>号），决定参加贵单位组织的本项目询价。我方授权（姓名、职务）代表我方                        （报价单位的名称）全权处理本项目报价的有关事宜。</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1"/>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  天。</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1"/>
        <w:spacing w:line="360" w:lineRule="auto"/>
        <w:ind w:firstLine="562"/>
        <w:rPr>
          <w:rFonts w:ascii="仿宋" w:hAnsi="仿宋" w:eastAsia="仿宋" w:cs="仿宋"/>
          <w:b/>
          <w:bCs/>
          <w:sz w:val="28"/>
          <w:szCs w:val="28"/>
        </w:rPr>
      </w:pPr>
    </w:p>
    <w:p>
      <w:pPr>
        <w:pStyle w:val="31"/>
        <w:spacing w:line="360" w:lineRule="auto"/>
        <w:ind w:firstLine="562"/>
        <w:rPr>
          <w:rFonts w:ascii="仿宋" w:hAnsi="仿宋" w:eastAsia="仿宋" w:cs="仿宋"/>
          <w:b/>
          <w:bCs/>
          <w:sz w:val="28"/>
          <w:szCs w:val="28"/>
        </w:rPr>
      </w:pPr>
    </w:p>
    <w:p>
      <w:pPr>
        <w:pStyle w:val="31"/>
        <w:spacing w:line="360" w:lineRule="auto"/>
        <w:ind w:firstLine="562"/>
        <w:rPr>
          <w:rFonts w:ascii="仿宋" w:hAnsi="仿宋" w:eastAsia="仿宋" w:cs="仿宋"/>
          <w:b/>
          <w:bCs/>
          <w:sz w:val="28"/>
          <w:szCs w:val="28"/>
        </w:rPr>
      </w:pP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1"/>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1"/>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pgNumType w:fmt="decimal"/>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采购项目编号：竹医总采（询）【】号</w:t>
      </w:r>
    </w:p>
    <w:tbl>
      <w:tblPr>
        <w:tblStyle w:val="14"/>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highlight w:val="whit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highlight w:val="whit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ascii="仿宋" w:hAnsi="仿宋" w:eastAsia="仿宋" w:cs="仿宋"/>
                <w:color w:val="FF0000"/>
                <w:sz w:val="24"/>
                <w:szCs w:val="24"/>
              </w:rPr>
            </w:pPr>
            <w:bookmarkStart w:id="27" w:name="_Toc50711557"/>
            <w:r>
              <w:rPr>
                <w:rFonts w:hint="eastAsia" w:ascii="仿宋" w:hAnsi="仿宋" w:eastAsia="仿宋" w:cs="仿宋"/>
                <w:color w:val="FF0000"/>
                <w:sz w:val="24"/>
                <w:szCs w:val="24"/>
                <w:highlight w:val="white"/>
              </w:rPr>
              <w:t>产品制造商家、品牌及</w:t>
            </w:r>
            <w:bookmarkEnd w:id="27"/>
            <w:bookmarkStart w:id="28" w:name="_Toc50711558"/>
            <w:r>
              <w:rPr>
                <w:rFonts w:hint="eastAsia" w:ascii="仿宋" w:hAnsi="仿宋" w:eastAsia="仿宋" w:cs="仿宋"/>
                <w:color w:val="FF0000"/>
                <w:sz w:val="24"/>
                <w:szCs w:val="24"/>
                <w:highlight w:val="white"/>
              </w:rPr>
              <w:t>规格型号</w:t>
            </w:r>
            <w:r>
              <w:rPr>
                <w:rFonts w:hint="eastAsia" w:ascii="仿宋" w:hAnsi="仿宋" w:eastAsia="仿宋" w:cs="仿宋"/>
                <w:b/>
                <w:bCs/>
                <w:color w:val="FF0000"/>
                <w:sz w:val="24"/>
                <w:szCs w:val="24"/>
                <w:highlight w:val="white"/>
              </w:rPr>
              <w:t>（如涉及）</w:t>
            </w:r>
            <w:bookmarkEnd w:id="28"/>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FF0000"/>
                <w:sz w:val="24"/>
                <w:szCs w:val="24"/>
              </w:rPr>
            </w:pPr>
            <w:r>
              <w:rPr>
                <w:rFonts w:hint="eastAsia" w:ascii="仿宋" w:hAnsi="仿宋" w:eastAsia="仿宋" w:cs="仿宋"/>
                <w:b/>
                <w:color w:val="FF0000"/>
                <w:sz w:val="24"/>
                <w:szCs w:val="24"/>
                <w:highlight w:val="whit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color w:val="FF0000"/>
                <w:sz w:val="24"/>
                <w:szCs w:val="24"/>
                <w:highlight w:val="white"/>
              </w:rPr>
            </w:pPr>
            <w:r>
              <w:rPr>
                <w:rFonts w:hint="eastAsia" w:ascii="仿宋" w:hAnsi="仿宋" w:eastAsia="仿宋" w:cs="仿宋"/>
                <w:b/>
                <w:color w:val="FF0000"/>
                <w:sz w:val="24"/>
                <w:szCs w:val="24"/>
                <w:highlight w:val="white"/>
              </w:rPr>
              <w:t>成交单价（元）（执行报价折扣率方式的价格，按询价文件要求四舍五入保留小数点后相应位数）</w:t>
            </w:r>
          </w:p>
          <w:p>
            <w:pPr>
              <w:snapToGrid w:val="0"/>
              <w:spacing w:line="360" w:lineRule="auto"/>
              <w:jc w:val="center"/>
              <w:rPr>
                <w:rFonts w:ascii="仿宋" w:hAnsi="仿宋" w:eastAsia="仿宋" w:cs="仿宋"/>
                <w:b/>
                <w:sz w:val="24"/>
                <w:szCs w:val="24"/>
                <w:highlight w:val="white"/>
              </w:rPr>
            </w:pPr>
          </w:p>
        </w:tc>
        <w:tc>
          <w:tcPr>
            <w:tcW w:w="926" w:type="dxa"/>
            <w:tcBorders>
              <w:top w:val="single" w:color="auto" w:sz="4" w:space="0"/>
              <w:left w:val="single" w:color="auto" w:sz="4" w:space="0"/>
              <w:bottom w:val="single" w:color="auto" w:sz="4" w:space="0"/>
              <w:right w:val="single" w:color="auto" w:sz="4" w:space="0"/>
            </w:tcBorders>
            <w:noWrap/>
            <w:vAlign w:val="center"/>
          </w:tcPr>
          <w:p>
            <w:pPr>
              <w:tabs>
                <w:tab w:val="left" w:pos="402"/>
              </w:tabs>
              <w:snapToGrid w:val="0"/>
              <w:spacing w:line="360" w:lineRule="auto"/>
              <w:jc w:val="left"/>
              <w:rPr>
                <w:rFonts w:ascii="仿宋" w:hAnsi="仿宋" w:eastAsia="仿宋" w:cs="仿宋"/>
                <w:b/>
                <w:sz w:val="24"/>
                <w:szCs w:val="24"/>
                <w:highlight w:val="white"/>
              </w:rPr>
            </w:pPr>
            <w:r>
              <w:rPr>
                <w:rFonts w:hint="eastAsia" w:ascii="仿宋" w:hAnsi="仿宋" w:eastAsia="仿宋" w:cs="仿宋"/>
                <w:b/>
                <w:sz w:val="24"/>
                <w:szCs w:val="24"/>
                <w:highlight w:val="white"/>
              </w:rPr>
              <w:tab/>
            </w:r>
            <w:r>
              <w:rPr>
                <w:rFonts w:hint="eastAsia" w:ascii="仿宋" w:hAnsi="仿宋" w:eastAsia="仿宋" w:cs="仿宋"/>
                <w:b/>
                <w:sz w:val="24"/>
                <w:szCs w:val="24"/>
                <w:highlight w:val="whit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1</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1号货物</w:t>
            </w: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仿宋" w:hAnsi="仿宋" w:eastAsia="仿宋" w:cs="仿宋"/>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%(举例)</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保留小数点后2位</w:t>
            </w: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2</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3</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4</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5</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6</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7</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8</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分项报价合计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pPr>
              <w:pStyle w:val="41"/>
              <w:spacing w:line="360" w:lineRule="auto"/>
              <w:jc w:val="left"/>
              <w:rPr>
                <w:rFonts w:ascii="仿宋" w:hAnsi="仿宋" w:eastAsia="仿宋" w:cs="仿宋"/>
                <w:szCs w:val="24"/>
              </w:rPr>
            </w:pPr>
            <w:r>
              <w:rPr>
                <w:rFonts w:hint="eastAsia" w:ascii="仿宋" w:hAnsi="仿宋" w:eastAsia="仿宋" w:cs="仿宋"/>
                <w:szCs w:val="24"/>
                <w:highlight w:val="whit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bCs/>
                <w:sz w:val="24"/>
                <w:szCs w:val="24"/>
                <w:highlight w:val="white"/>
              </w:rPr>
            </w:pPr>
          </w:p>
        </w:tc>
      </w:tr>
    </w:tbl>
    <w:p>
      <w:pPr>
        <w:adjustRightInd w:val="0"/>
        <w:spacing w:line="360" w:lineRule="auto"/>
        <w:rPr>
          <w:rFonts w:ascii="仿宋" w:hAnsi="仿宋" w:eastAsia="仿宋" w:cs="仿宋"/>
          <w:bCs/>
          <w:spacing w:val="8"/>
          <w:sz w:val="24"/>
          <w:szCs w:val="24"/>
          <w:highlight w:val="white"/>
        </w:rPr>
      </w:pPr>
    </w:p>
    <w:p>
      <w:pPr>
        <w:adjustRightInd w:val="0"/>
        <w:spacing w:line="360" w:lineRule="auto"/>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rPr>
        <w:t>我方</w:t>
      </w:r>
      <w:r>
        <w:rPr>
          <w:rFonts w:hint="eastAsia" w:ascii="仿宋" w:hAnsi="仿宋" w:eastAsia="仿宋" w:cs="仿宋"/>
          <w:bCs/>
          <w:sz w:val="24"/>
          <w:szCs w:val="24"/>
          <w:highlight w:val="white"/>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供应商名称：（盖章）</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pgNumType w:fmt="decimal"/>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028"/>
        <w:gridCol w:w="1080"/>
        <w:gridCol w:w="1692"/>
        <w:gridCol w:w="1836"/>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ascii="仿宋" w:hAnsi="仿宋" w:eastAsia="仿宋" w:cs="仿宋"/>
                <w:highlight w:val="white"/>
              </w:rPr>
            </w:pPr>
          </w:p>
          <w:p>
            <w:pPr>
              <w:pStyle w:val="32"/>
              <w:spacing w:line="360" w:lineRule="auto"/>
              <w:jc w:val="center"/>
              <w:rPr>
                <w:rFonts w:ascii="仿宋" w:hAnsi="仿宋" w:eastAsia="仿宋" w:cs="仿宋"/>
              </w:rPr>
            </w:pPr>
            <w:r>
              <w:rPr>
                <w:rFonts w:hint="eastAsia" w:ascii="仿宋" w:hAnsi="仿宋" w:eastAsia="仿宋" w:cs="仿宋"/>
                <w:highlight w:val="white"/>
              </w:rPr>
              <w:t>序号</w:t>
            </w:r>
          </w:p>
        </w:tc>
        <w:tc>
          <w:tcPr>
            <w:tcW w:w="2028" w:type="dxa"/>
            <w:tcBorders>
              <w:top w:val="single" w:color="auto" w:sz="4" w:space="0"/>
              <w:left w:val="single" w:color="auto" w:sz="4" w:space="0"/>
              <w:bottom w:val="single" w:color="auto" w:sz="4" w:space="0"/>
              <w:right w:val="single" w:color="auto" w:sz="4" w:space="0"/>
            </w:tcBorders>
            <w:noWrap/>
            <w:vAlign w:val="center"/>
          </w:tcPr>
          <w:p>
            <w:pPr>
              <w:pStyle w:val="31"/>
              <w:spacing w:line="360" w:lineRule="auto"/>
              <w:ind w:firstLine="0" w:firstLineChars="0"/>
              <w:jc w:val="center"/>
              <w:rPr>
                <w:rFonts w:hint="eastAsia" w:ascii="仿宋" w:hAnsi="仿宋" w:eastAsia="仿宋" w:cs="仿宋"/>
                <w:highlight w:val="white"/>
              </w:rPr>
            </w:pPr>
            <w:r>
              <w:rPr>
                <w:rFonts w:hint="eastAsia" w:ascii="仿宋" w:hAnsi="仿宋" w:eastAsia="仿宋" w:cs="仿宋"/>
                <w:highlight w:val="white"/>
              </w:rPr>
              <w:t>询价文件</w:t>
            </w:r>
          </w:p>
          <w:p>
            <w:pPr>
              <w:pStyle w:val="31"/>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2"/>
              <w:spacing w:line="360" w:lineRule="auto"/>
              <w:jc w:val="center"/>
              <w:rPr>
                <w:rFonts w:ascii="仿宋" w:hAnsi="仿宋" w:eastAsia="仿宋" w:cs="仿宋"/>
              </w:rPr>
            </w:pPr>
            <w:r>
              <w:rPr>
                <w:rFonts w:hint="eastAsia" w:ascii="仿宋" w:hAnsi="仿宋" w:eastAsia="仿宋" w:cs="仿宋"/>
                <w:highlight w:val="white"/>
              </w:rPr>
              <w:t>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hint="eastAsia" w:ascii="仿宋" w:hAnsi="仿宋" w:eastAsia="仿宋" w:cs="仿宋"/>
                <w:lang w:val="en-US" w:eastAsia="zh-CN"/>
              </w:rPr>
            </w:pPr>
            <w:r>
              <w:rPr>
                <w:rFonts w:hint="eastAsia" w:ascii="仿宋" w:hAnsi="仿宋" w:eastAsia="仿宋" w:cs="仿宋"/>
                <w:highlight w:val="white"/>
                <w:lang w:val="en-US" w:eastAsia="zh-CN"/>
              </w:rPr>
              <w:t>供应商</w:t>
            </w:r>
            <w:r>
              <w:rPr>
                <w:rFonts w:hint="eastAsia" w:ascii="仿宋" w:hAnsi="仿宋" w:eastAsia="仿宋" w:cs="仿宋"/>
                <w:highlight w:val="white"/>
              </w:rPr>
              <w:t>响应文件应答</w:t>
            </w:r>
            <w:r>
              <w:rPr>
                <w:rFonts w:hint="eastAsia" w:ascii="仿宋" w:hAnsi="仿宋" w:eastAsia="仿宋" w:cs="仿宋"/>
                <w:highlight w:val="white"/>
                <w:lang w:val="en-US" w:eastAsia="zh-CN"/>
              </w:rPr>
              <w:t>内容</w:t>
            </w:r>
          </w:p>
        </w:tc>
        <w:tc>
          <w:tcPr>
            <w:tcW w:w="1692"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hint="eastAsia" w:ascii="仿宋" w:hAnsi="仿宋" w:eastAsia="仿宋" w:cs="仿宋"/>
                <w:lang w:eastAsia="zh-CN"/>
              </w:rPr>
            </w:pPr>
            <w:r>
              <w:rPr>
                <w:rFonts w:hint="eastAsia" w:ascii="仿宋" w:hAnsi="仿宋" w:eastAsia="仿宋" w:cs="仿宋"/>
                <w:highlight w:val="white"/>
              </w:rPr>
              <w:t>相应证明材料</w:t>
            </w:r>
            <w:r>
              <w:rPr>
                <w:rFonts w:hint="eastAsia" w:ascii="仿宋" w:hAnsi="仿宋" w:eastAsia="仿宋" w:cs="仿宋"/>
                <w:highlight w:val="white"/>
                <w:lang w:eastAsia="zh-CN"/>
              </w:rPr>
              <w:t>（</w:t>
            </w:r>
            <w:r>
              <w:rPr>
                <w:rFonts w:hint="eastAsia" w:ascii="仿宋" w:hAnsi="仿宋" w:eastAsia="仿宋" w:cs="仿宋"/>
                <w:highlight w:val="white"/>
                <w:lang w:val="en-US" w:eastAsia="zh-CN"/>
              </w:rPr>
              <w:t>如有要求</w:t>
            </w:r>
            <w:r>
              <w:rPr>
                <w:rFonts w:hint="eastAsia" w:ascii="仿宋" w:hAnsi="仿宋" w:eastAsia="仿宋" w:cs="仿宋"/>
                <w:highlight w:val="white"/>
                <w:lang w:eastAsia="zh-CN"/>
              </w:rPr>
              <w:t>）</w:t>
            </w:r>
          </w:p>
        </w:tc>
        <w:tc>
          <w:tcPr>
            <w:tcW w:w="1836"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ascii="仿宋" w:hAnsi="仿宋" w:eastAsia="仿宋" w:cs="仿宋"/>
              </w:rPr>
            </w:pPr>
            <w:r>
              <w:rPr>
                <w:rFonts w:hint="eastAsia" w:ascii="仿宋" w:hAnsi="仿宋" w:eastAsia="仿宋" w:cs="仿宋"/>
                <w:bCs/>
                <w:spacing w:val="8"/>
                <w:highlight w:val="white"/>
              </w:rPr>
              <w:t>正/负</w:t>
            </w:r>
            <w:r>
              <w:rPr>
                <w:rFonts w:hint="eastAsia" w:ascii="仿宋" w:hAnsi="仿宋" w:eastAsia="仿宋" w:cs="仿宋"/>
                <w:bCs/>
                <w:spacing w:val="8"/>
                <w:highlight w:val="white"/>
                <w:lang w:val="en-US" w:eastAsia="zh-CN"/>
              </w:rPr>
              <w:t>或无</w:t>
            </w:r>
            <w:r>
              <w:rPr>
                <w:rFonts w:hint="eastAsia" w:ascii="仿宋" w:hAnsi="仿宋" w:eastAsia="仿宋" w:cs="仿宋"/>
                <w:bCs/>
                <w:spacing w:val="8"/>
                <w:highlight w:val="white"/>
              </w:rPr>
              <w:t>偏离</w:t>
            </w:r>
          </w:p>
        </w:tc>
        <w:tc>
          <w:tcPr>
            <w:tcW w:w="1632"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ascii="仿宋" w:hAnsi="仿宋" w:eastAsia="仿宋" w:cs="仿宋"/>
              </w:rPr>
            </w:pPr>
            <w:r>
              <w:rPr>
                <w:rFonts w:hint="eastAsia" w:ascii="仿宋" w:hAnsi="仿宋" w:eastAsia="仿宋" w:cs="仿宋"/>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202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69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83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3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2028"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080"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9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83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3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2028"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080"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9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83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3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2．按照询价文件技术、服务要求的顺序对应填写。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3、供应商必须据实填写，不得虚假填写，否则将取消其投标或成交资格，并按相关规定进行处理。</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630" w:firstLineChars="225"/>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630" w:firstLineChars="225"/>
        <w:jc w:val="left"/>
        <w:rPr>
          <w:rFonts w:ascii="仿宋" w:hAnsi="仿宋" w:eastAsia="仿宋" w:cs="仿宋"/>
          <w:bCs/>
          <w:sz w:val="28"/>
          <w:szCs w:val="28"/>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询价文件要求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响应文件应答</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w:t>
            </w:r>
            <w:r>
              <w:rPr>
                <w:rFonts w:hint="eastAsia" w:ascii="仿宋" w:hAnsi="仿宋" w:eastAsia="仿宋" w:cs="仿宋"/>
                <w:bCs/>
                <w:spacing w:val="8"/>
                <w:highlight w:val="white"/>
                <w:lang w:val="en-US" w:eastAsia="zh-CN"/>
              </w:rPr>
              <w:t>或无</w:t>
            </w:r>
            <w:r>
              <w:rPr>
                <w:rFonts w:hint="eastAsia" w:ascii="仿宋" w:hAnsi="仿宋" w:eastAsia="仿宋" w:cs="仿宋"/>
                <w:bCs/>
                <w:spacing w:val="8"/>
                <w:highlight w:val="whit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widowControl/>
        <w:spacing w:line="360" w:lineRule="auto"/>
        <w:ind w:firstLine="548" w:firstLineChars="196"/>
        <w:jc w:val="left"/>
        <w:outlineLvl w:val="1"/>
        <w:rPr>
          <w:rFonts w:ascii="仿宋" w:hAnsi="仿宋" w:eastAsia="仿宋" w:cs="仿宋"/>
          <w:sz w:val="28"/>
          <w:szCs w:val="28"/>
        </w:rPr>
      </w:pPr>
      <w:r>
        <w:rPr>
          <w:rFonts w:hint="eastAsia" w:ascii="仿宋" w:hAnsi="仿宋" w:eastAsia="仿宋" w:cs="仿宋"/>
          <w:sz w:val="28"/>
          <w:szCs w:val="28"/>
        </w:rPr>
        <w:t>注意：供应商必须据实填写，不得虚假响应，否则将取消其投标或成交资格，并按规定追究其相关责任。</w:t>
      </w:r>
    </w:p>
    <w:p>
      <w:pPr>
        <w:widowControl/>
        <w:spacing w:line="360" w:lineRule="auto"/>
        <w:ind w:firstLine="548" w:firstLineChars="196"/>
        <w:jc w:val="left"/>
        <w:rPr>
          <w:rFonts w:ascii="仿宋" w:hAnsi="仿宋" w:eastAsia="仿宋" w:cs="仿宋"/>
          <w:sz w:val="28"/>
          <w:szCs w:val="28"/>
        </w:rPr>
      </w:pP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630" w:firstLineChars="225"/>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630" w:firstLineChars="225"/>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9" w:name="_Toc217446089"/>
      <w:r>
        <w:rPr>
          <w:rFonts w:hint="eastAsia" w:ascii="仿宋" w:hAnsi="仿宋" w:eastAsia="仿宋" w:cs="仿宋"/>
          <w:bCs/>
          <w:kern w:val="0"/>
          <w:sz w:val="24"/>
          <w:szCs w:val="24"/>
        </w:rPr>
        <w:t>附件7</w:t>
      </w:r>
    </w:p>
    <w:p>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9"/>
    </w:p>
    <w:p>
      <w:pPr>
        <w:spacing w:line="360" w:lineRule="auto"/>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u w:val="single"/>
          <w:lang w:val="en-US" w:eastAsia="zh-CN"/>
        </w:rPr>
        <w:t>资格条件未要求业绩的，不填此表</w:t>
      </w:r>
      <w:r>
        <w:rPr>
          <w:rFonts w:hint="eastAsia" w:ascii="仿宋" w:hAnsi="仿宋" w:eastAsia="仿宋" w:cs="仿宋"/>
          <w:b/>
          <w:bCs/>
          <w:color w:val="000000"/>
          <w:sz w:val="32"/>
          <w:szCs w:val="32"/>
          <w:lang w:eastAsia="zh-CN"/>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注：以上业绩需提供有关书面证明材料。“合同金额”需提供合同复印件；“完成项目质量”需提供合同验收合格或用户单位书面证明材料。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91E536-A1E3-46B6-999C-DB8EC65D07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E51800B9-E799-4A8D-A1B4-8440ECE55B6D}"/>
  </w:font>
  <w:font w:name="仿宋_GB2312">
    <w:panose1 w:val="02010609030101010101"/>
    <w:charset w:val="86"/>
    <w:family w:val="auto"/>
    <w:pitch w:val="default"/>
    <w:sig w:usb0="00000001" w:usb1="080E0000" w:usb2="00000000" w:usb3="00000000" w:csb0="00040000" w:csb1="00000000"/>
    <w:embedRegular r:id="rId3" w:fontKey="{E740B573-9626-4B37-9B44-3E2B9783C2B7}"/>
  </w:font>
  <w:font w:name="方正公文小标宋">
    <w:panose1 w:val="02000500000000000000"/>
    <w:charset w:val="86"/>
    <w:family w:val="auto"/>
    <w:pitch w:val="default"/>
    <w:sig w:usb0="A00002BF" w:usb1="38CF7CFA" w:usb2="00000016" w:usb3="00000000" w:csb0="00040001" w:csb1="00000000"/>
    <w:embedRegular r:id="rId4" w:fontKey="{EAF132CC-03E4-461A-9327-2FA1886C2B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rFonts w:hint="eastAsia"/>
                    <w:lang w:val="zh-CN"/>
                  </w:rPr>
                  <w:t>４７</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rFonts w:hint="eastAsia"/>
        <w:lang w:val="zh-CN"/>
      </w:rPr>
      <w:t>４７</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FF17153F"/>
    <w:multiLevelType w:val="singleLevel"/>
    <w:tmpl w:val="FF17153F"/>
    <w:lvl w:ilvl="0" w:tentative="0">
      <w:start w:val="2"/>
      <w:numFmt w:val="chineseCounting"/>
      <w:suff w:val="nothing"/>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5561"/>
    <w:rsid w:val="003F1DD9"/>
    <w:rsid w:val="003F7C9A"/>
    <w:rsid w:val="00410A5A"/>
    <w:rsid w:val="00495DE7"/>
    <w:rsid w:val="004D7F9D"/>
    <w:rsid w:val="0053464D"/>
    <w:rsid w:val="00560E87"/>
    <w:rsid w:val="005B1E5E"/>
    <w:rsid w:val="005C18AA"/>
    <w:rsid w:val="005D537C"/>
    <w:rsid w:val="00604F97"/>
    <w:rsid w:val="00616AE0"/>
    <w:rsid w:val="00677BC2"/>
    <w:rsid w:val="00677F75"/>
    <w:rsid w:val="0068601D"/>
    <w:rsid w:val="0069347E"/>
    <w:rsid w:val="006C096A"/>
    <w:rsid w:val="006D5AA4"/>
    <w:rsid w:val="006E4CC0"/>
    <w:rsid w:val="00742258"/>
    <w:rsid w:val="007458A0"/>
    <w:rsid w:val="00761689"/>
    <w:rsid w:val="007655BD"/>
    <w:rsid w:val="00795012"/>
    <w:rsid w:val="007A605B"/>
    <w:rsid w:val="007B5904"/>
    <w:rsid w:val="007E3728"/>
    <w:rsid w:val="007F10C4"/>
    <w:rsid w:val="007F550C"/>
    <w:rsid w:val="00850409"/>
    <w:rsid w:val="00860A14"/>
    <w:rsid w:val="00867642"/>
    <w:rsid w:val="0087719D"/>
    <w:rsid w:val="008805E4"/>
    <w:rsid w:val="008929E0"/>
    <w:rsid w:val="00926169"/>
    <w:rsid w:val="00957649"/>
    <w:rsid w:val="0097073B"/>
    <w:rsid w:val="009B65D2"/>
    <w:rsid w:val="009E6C56"/>
    <w:rsid w:val="00A30B5A"/>
    <w:rsid w:val="00A466FF"/>
    <w:rsid w:val="00A926F0"/>
    <w:rsid w:val="00AB4384"/>
    <w:rsid w:val="00AD754D"/>
    <w:rsid w:val="00AE4D9E"/>
    <w:rsid w:val="00AF0DF3"/>
    <w:rsid w:val="00B22838"/>
    <w:rsid w:val="00B30851"/>
    <w:rsid w:val="00B41A76"/>
    <w:rsid w:val="00B56267"/>
    <w:rsid w:val="00B753B9"/>
    <w:rsid w:val="00B816DA"/>
    <w:rsid w:val="00B977EC"/>
    <w:rsid w:val="00BD4903"/>
    <w:rsid w:val="00BD50E5"/>
    <w:rsid w:val="00C10FC5"/>
    <w:rsid w:val="00C33C81"/>
    <w:rsid w:val="00C36632"/>
    <w:rsid w:val="00C841A9"/>
    <w:rsid w:val="00C84A3A"/>
    <w:rsid w:val="00CE2094"/>
    <w:rsid w:val="00CE7C35"/>
    <w:rsid w:val="00D06512"/>
    <w:rsid w:val="00D2156E"/>
    <w:rsid w:val="00D228FF"/>
    <w:rsid w:val="00D31697"/>
    <w:rsid w:val="00DB2A75"/>
    <w:rsid w:val="00DD3EA4"/>
    <w:rsid w:val="00DD6D3D"/>
    <w:rsid w:val="00E147E8"/>
    <w:rsid w:val="00E829CD"/>
    <w:rsid w:val="00EB05A2"/>
    <w:rsid w:val="00EB1DA5"/>
    <w:rsid w:val="00EB4AEE"/>
    <w:rsid w:val="00EC14AE"/>
    <w:rsid w:val="00EF2F22"/>
    <w:rsid w:val="00F4222B"/>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2E274D7B"/>
    <w:rsid w:val="33DC5895"/>
    <w:rsid w:val="35CE3363"/>
    <w:rsid w:val="37491522"/>
    <w:rsid w:val="3C557122"/>
    <w:rsid w:val="4065532C"/>
    <w:rsid w:val="423A5D5C"/>
    <w:rsid w:val="431B32FE"/>
    <w:rsid w:val="45AA61B4"/>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C371961"/>
    <w:rsid w:val="6D594018"/>
    <w:rsid w:val="6F601F1C"/>
    <w:rsid w:val="70666005"/>
    <w:rsid w:val="72B7769C"/>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5"/>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6"/>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0"/>
    <w:pPr>
      <w:spacing w:after="120"/>
    </w:pPr>
  </w:style>
  <w:style w:type="paragraph" w:styleId="3">
    <w:name w:val="Subtitle"/>
    <w:basedOn w:val="1"/>
    <w:next w:val="1"/>
    <w:link w:val="43"/>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3"/>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28"/>
    <w:unhideWhenUsed/>
    <w:qFormat/>
    <w:uiPriority w:val="0"/>
    <w:pPr>
      <w:jc w:val="left"/>
    </w:pPr>
    <w:rPr>
      <w:rFonts w:ascii="宋体"/>
      <w:kern w:val="0"/>
      <w:sz w:val="34"/>
      <w:szCs w:val="22"/>
    </w:rPr>
  </w:style>
  <w:style w:type="paragraph" w:styleId="8">
    <w:name w:val="Body Text Indent"/>
    <w:basedOn w:val="1"/>
    <w:link w:val="29"/>
    <w:qFormat/>
    <w:uiPriority w:val="0"/>
    <w:pPr>
      <w:ind w:firstLine="630"/>
    </w:pPr>
    <w:rPr>
      <w:sz w:val="32"/>
    </w:rPr>
  </w:style>
  <w:style w:type="paragraph" w:styleId="9">
    <w:name w:val="Balloon Text"/>
    <w:basedOn w:val="1"/>
    <w:link w:val="30"/>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3">
    <w:name w:val="页眉 Char"/>
    <w:basedOn w:val="16"/>
    <w:link w:val="11"/>
    <w:semiHidden/>
    <w:qFormat/>
    <w:uiPriority w:val="99"/>
    <w:rPr>
      <w:sz w:val="18"/>
      <w:szCs w:val="18"/>
    </w:rPr>
  </w:style>
  <w:style w:type="character" w:customStyle="1" w:styleId="24">
    <w:name w:val="页脚 Char"/>
    <w:basedOn w:val="16"/>
    <w:link w:val="10"/>
    <w:semiHidden/>
    <w:qFormat/>
    <w:uiPriority w:val="99"/>
    <w:rPr>
      <w:sz w:val="18"/>
      <w:szCs w:val="18"/>
    </w:rPr>
  </w:style>
  <w:style w:type="character" w:customStyle="1" w:styleId="25">
    <w:name w:val="标题 1 Char"/>
    <w:basedOn w:val="16"/>
    <w:link w:val="4"/>
    <w:qFormat/>
    <w:uiPriority w:val="0"/>
    <w:rPr>
      <w:rFonts w:ascii="黑体" w:hAnsi="黑体" w:eastAsia="黑体" w:cs="Times New Roman"/>
      <w:b/>
      <w:kern w:val="44"/>
      <w:sz w:val="32"/>
      <w:szCs w:val="32"/>
    </w:rPr>
  </w:style>
  <w:style w:type="character" w:customStyle="1" w:styleId="26">
    <w:name w:val="标题 2 Char"/>
    <w:basedOn w:val="16"/>
    <w:link w:val="5"/>
    <w:qFormat/>
    <w:uiPriority w:val="0"/>
    <w:rPr>
      <w:rFonts w:ascii="Arial" w:hAnsi="Arial" w:eastAsia="黑体" w:cs="Times New Roman"/>
      <w:sz w:val="30"/>
      <w:szCs w:val="30"/>
    </w:rPr>
  </w:style>
  <w:style w:type="character" w:customStyle="1" w:styleId="27">
    <w:name w:val="正文文本 Char"/>
    <w:basedOn w:val="16"/>
    <w:link w:val="2"/>
    <w:qFormat/>
    <w:uiPriority w:val="99"/>
    <w:rPr>
      <w:rFonts w:ascii="Times New Roman" w:hAnsi="Times New Roman" w:eastAsia="宋体" w:cs="Times New Roman"/>
      <w:szCs w:val="20"/>
    </w:rPr>
  </w:style>
  <w:style w:type="character" w:customStyle="1" w:styleId="28">
    <w:name w:val="批注文字 Char"/>
    <w:basedOn w:val="16"/>
    <w:link w:val="7"/>
    <w:qFormat/>
    <w:uiPriority w:val="99"/>
    <w:rPr>
      <w:rFonts w:ascii="宋体" w:hAnsi="Times New Roman" w:eastAsia="宋体" w:cs="Times New Roman"/>
      <w:kern w:val="0"/>
      <w:sz w:val="34"/>
    </w:rPr>
  </w:style>
  <w:style w:type="character" w:customStyle="1" w:styleId="29">
    <w:name w:val="正文文本缩进 Char"/>
    <w:basedOn w:val="16"/>
    <w:link w:val="8"/>
    <w:qFormat/>
    <w:uiPriority w:val="0"/>
    <w:rPr>
      <w:rFonts w:ascii="Times New Roman" w:hAnsi="Times New Roman" w:eastAsia="宋体" w:cs="Times New Roman"/>
      <w:sz w:val="32"/>
      <w:szCs w:val="20"/>
    </w:rPr>
  </w:style>
  <w:style w:type="character" w:customStyle="1" w:styleId="30">
    <w:name w:val="批注框文本 Char"/>
    <w:basedOn w:val="16"/>
    <w:link w:val="9"/>
    <w:qFormat/>
    <w:uiPriority w:val="0"/>
    <w:rPr>
      <w:rFonts w:ascii="Times New Roman" w:hAnsi="Times New Roman" w:eastAsia="宋体" w:cs="Times New Roman"/>
      <w:sz w:val="18"/>
      <w:szCs w:val="18"/>
    </w:rPr>
  </w:style>
  <w:style w:type="paragraph" w:styleId="31">
    <w:name w:val="List Paragraph"/>
    <w:basedOn w:val="1"/>
    <w:qFormat/>
    <w:uiPriority w:val="0"/>
    <w:pPr>
      <w:ind w:firstLine="420" w:firstLineChars="200"/>
    </w:pPr>
    <w:rPr>
      <w:szCs w:val="24"/>
    </w:rPr>
  </w:style>
  <w:style w:type="paragraph" w:customStyle="1" w:styleId="32">
    <w:name w:val="表格"/>
    <w:basedOn w:val="1"/>
    <w:qFormat/>
    <w:uiPriority w:val="0"/>
    <w:pPr>
      <w:spacing w:line="400" w:lineRule="exact"/>
    </w:pPr>
    <w:rPr>
      <w:sz w:val="24"/>
      <w:szCs w:val="24"/>
    </w:rPr>
  </w:style>
  <w:style w:type="character" w:customStyle="1" w:styleId="33">
    <w:name w:val="正文缩进 Char"/>
    <w:link w:val="6"/>
    <w:qFormat/>
    <w:uiPriority w:val="0"/>
    <w:rPr>
      <w:rFonts w:ascii="宋体" w:hAnsi="宋体" w:eastAsia="宋体" w:cs="Times New Roman"/>
      <w:b/>
      <w:kern w:val="0"/>
      <w:sz w:val="24"/>
      <w:szCs w:val="24"/>
    </w:rPr>
  </w:style>
  <w:style w:type="character" w:customStyle="1" w:styleId="34">
    <w:name w:val="font31"/>
    <w:basedOn w:val="16"/>
    <w:qFormat/>
    <w:uiPriority w:val="0"/>
    <w:rPr>
      <w:rFonts w:hint="eastAsia" w:ascii="宋体" w:hAnsi="宋体" w:eastAsia="宋体" w:cs="宋体"/>
      <w:color w:val="0000FF"/>
      <w:sz w:val="28"/>
      <w:szCs w:val="28"/>
      <w:u w:val="none"/>
    </w:rPr>
  </w:style>
  <w:style w:type="character" w:customStyle="1" w:styleId="35">
    <w:name w:val="font01"/>
    <w:basedOn w:val="16"/>
    <w:qFormat/>
    <w:uiPriority w:val="0"/>
    <w:rPr>
      <w:rFonts w:hint="eastAsia" w:ascii="宋体" w:hAnsi="宋体" w:eastAsia="宋体" w:cs="宋体"/>
      <w:color w:val="000000"/>
      <w:sz w:val="28"/>
      <w:szCs w:val="28"/>
      <w:u w:val="none"/>
    </w:rPr>
  </w:style>
  <w:style w:type="paragraph" w:customStyle="1" w:styleId="36">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文本_1"/>
    <w:basedOn w:val="37"/>
    <w:next w:val="37"/>
    <w:unhideWhenUsed/>
    <w:qFormat/>
    <w:uiPriority w:val="99"/>
    <w:pPr>
      <w:spacing w:after="120"/>
    </w:pPr>
    <w:rPr>
      <w:rFonts w:ascii="Times New Roman" w:hAnsi="Times New Roman"/>
      <w:kern w:val="0"/>
      <w:sz w:val="20"/>
      <w:szCs w:val="20"/>
    </w:rPr>
  </w:style>
  <w:style w:type="paragraph" w:customStyle="1" w:styleId="39">
    <w:name w:val="列出段落2"/>
    <w:basedOn w:val="1"/>
    <w:qFormat/>
    <w:uiPriority w:val="0"/>
    <w:pPr>
      <w:ind w:firstLine="420" w:firstLineChars="200"/>
    </w:pPr>
  </w:style>
  <w:style w:type="paragraph" w:customStyle="1" w:styleId="40">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1">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2">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副标题 Char"/>
    <w:basedOn w:val="16"/>
    <w:link w:val="3"/>
    <w:qFormat/>
    <w:uiPriority w:val="0"/>
    <w:rPr>
      <w:rFonts w:ascii="Cambria" w:hAnsi="Cambria"/>
      <w:b/>
      <w:bCs/>
      <w:color w:val="000000"/>
      <w:kern w:val="28"/>
      <w:sz w:val="32"/>
      <w:szCs w:val="32"/>
    </w:rPr>
  </w:style>
  <w:style w:type="paragraph" w:customStyle="1" w:styleId="44">
    <w:name w:val="正文文本_0"/>
    <w:basedOn w:val="36"/>
    <w:next w:val="36"/>
    <w:qFormat/>
    <w:uiPriority w:val="0"/>
    <w:pPr>
      <w:spacing w:after="120"/>
    </w:pPr>
  </w:style>
  <w:style w:type="character" w:customStyle="1" w:styleId="45">
    <w:name w:val="font23"/>
    <w:basedOn w:val="16"/>
    <w:qFormat/>
    <w:uiPriority w:val="0"/>
    <w:rPr>
      <w:rFonts w:hint="eastAsia" w:ascii="新宋体" w:hAnsi="新宋体" w:eastAsia="新宋体" w:cs="新宋体"/>
      <w:color w:val="000000"/>
      <w:sz w:val="20"/>
      <w:szCs w:val="20"/>
      <w:u w:val="none"/>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font51"/>
    <w:basedOn w:val="16"/>
    <w:qFormat/>
    <w:uiPriority w:val="0"/>
    <w:rPr>
      <w:rFonts w:hint="eastAsia" w:ascii="新宋体" w:hAnsi="新宋体" w:eastAsia="新宋体" w:cs="新宋体"/>
      <w:b/>
      <w:bCs/>
      <w:color w:val="000000"/>
      <w:sz w:val="20"/>
      <w:szCs w:val="20"/>
      <w:u w:val="none"/>
    </w:rPr>
  </w:style>
  <w:style w:type="character" w:customStyle="1" w:styleId="48">
    <w:name w:val="font191"/>
    <w:basedOn w:val="16"/>
    <w:qFormat/>
    <w:uiPriority w:val="0"/>
    <w:rPr>
      <w:rFonts w:ascii="Arial" w:hAnsi="Arial" w:cs="Arial"/>
      <w:color w:val="000000"/>
      <w:sz w:val="19"/>
      <w:szCs w:val="19"/>
      <w:u w:val="none"/>
    </w:rPr>
  </w:style>
  <w:style w:type="character" w:customStyle="1" w:styleId="49">
    <w:name w:val="font201"/>
    <w:basedOn w:val="16"/>
    <w:qFormat/>
    <w:uiPriority w:val="0"/>
    <w:rPr>
      <w:rFonts w:ascii="Calibri" w:hAnsi="Calibri" w:cs="Calibri"/>
      <w:color w:val="000000"/>
      <w:sz w:val="21"/>
      <w:szCs w:val="21"/>
      <w:u w:val="none"/>
    </w:rPr>
  </w:style>
  <w:style w:type="paragraph" w:customStyle="1" w:styleId="50">
    <w:name w:val="标题 1_0"/>
    <w:basedOn w:val="37"/>
    <w:next w:val="37"/>
    <w:qFormat/>
    <w:uiPriority w:val="9"/>
    <w:pPr>
      <w:keepNext/>
      <w:keepLines/>
      <w:spacing w:before="340" w:after="330" w:line="578" w:lineRule="auto"/>
      <w:outlineLvl w:val="0"/>
    </w:pPr>
    <w:rPr>
      <w:b/>
      <w:bCs/>
      <w:kern w:val="44"/>
      <w:sz w:val="44"/>
      <w:szCs w:val="44"/>
    </w:rPr>
  </w:style>
  <w:style w:type="character" w:customStyle="1" w:styleId="51">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18457</Words>
  <Characters>18992</Characters>
  <Lines>179</Lines>
  <Paragraphs>50</Paragraphs>
  <TotalTime>3</TotalTime>
  <ScaleCrop>false</ScaleCrop>
  <LinksUpToDate>false</LinksUpToDate>
  <CharactersWithSpaces>19612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cp:lastModifiedBy>
  <cp:lastPrinted>2023-05-19T03:33:00Z</cp:lastPrinted>
  <dcterms:modified xsi:type="dcterms:W3CDTF">2023-06-25T03:10:37Z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9B864FC181064F48B63750822648A68C_13</vt:lpwstr>
  </property>
</Properties>
</file>