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急救外科医技大楼一楼大厅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改造住院药房工程院内询价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急救外科医技大楼一楼大厅改造住院药房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工程院内询价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eastAsia="zh-CN"/>
        </w:rPr>
        <w:t>急救外科医技大楼一楼大厅改造住院药房工程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、招标文件获取：本次招标文件公告于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大竹县人民医院公告及</w:t>
      </w:r>
      <w:r>
        <w:rPr>
          <w:rFonts w:hint="eastAsia" w:ascii="宋体" w:hAnsi="宋体" w:cs="宋体"/>
          <w:color w:val="000000"/>
          <w:sz w:val="28"/>
          <w:szCs w:val="28"/>
        </w:rPr>
        <w:t>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），各投标人可免费下载，大竹县人民医院基础设施建设办公室领取。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9:00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及</w:t>
      </w:r>
      <w:r>
        <w:rPr>
          <w:rFonts w:hint="eastAsia" w:ascii="宋体" w:hAnsi="宋体" w:cs="宋体"/>
          <w:color w:val="000000"/>
          <w:sz w:val="28"/>
          <w:szCs w:val="28"/>
        </w:rPr>
        <w:t>官方网站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上</w:t>
      </w:r>
      <w:r>
        <w:rPr>
          <w:rFonts w:hint="eastAsia" w:ascii="宋体" w:hAnsi="宋体" w:cs="宋体"/>
          <w:color w:val="000000"/>
          <w:sz w:val="28"/>
          <w:szCs w:val="28"/>
        </w:rPr>
        <w:t>进行公示，公示期满无异议，将通知成交单位，并应在接到通知一星期内与我院签订合同。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2020年4月13日 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大竹县人民医院急救外科医技大楼一楼大厅改造住院药房工程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工作内容：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实心砖墙、抹灰、防盗门制作安装、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600*300米黄色墙砖、钢化玻璃、不锈钢板、不锈钢挡板、墙面乳胶漆、石膏板隔断、隔断木门制作安装、恒温冷藏室石膏板隔断、方钢、吊顶天棚拆除及安装、配线、插座、筒灯、米黄色人造大理石饰面、定制实木颗粒板操作台石英石台面、吊顶天棚白色乳胶漆、隐框6+9A+6玻璃幕墙、钢化玻璃地弹簧门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126066.51（其中含暂列金为10308.11，暂列金在报价中原则上不变动，结算时暂列金使用以实际发生的增加工作量为准。）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急救外科医技大楼一楼大厅改造住院药房工程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  <w:bookmarkStart w:id="0" w:name="_Toc217446084"/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bookmarkEnd w:id="0"/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急救外科医技大楼一楼大厅改造住院药房工程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</w:t>
      </w:r>
      <w:bookmarkStart w:id="9" w:name="_GoBack"/>
      <w:bookmarkEnd w:id="9"/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 w:cs="宋体"/>
          <w:sz w:val="28"/>
          <w:szCs w:val="28"/>
        </w:rPr>
        <w:t>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急救外科医技大楼一楼大厅改造住院药房工程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我公司承诺对大竹县人民医院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急救外科医技大楼一楼大厅改造住院药房工程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2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2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8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8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急救外科医技大楼一楼大厅改造住院药房工程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附件六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eastAsia="仿宋_GB2312" w:cs="宋体"/>
          <w:sz w:val="28"/>
          <w:szCs w:val="28"/>
        </w:rPr>
        <w:t>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急救外科医技大楼一楼大厅改造住院药房工程</w:t>
      </w:r>
      <w:r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  <w:t>平面图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附件七:</w:t>
      </w:r>
      <w:r>
        <w:rPr>
          <w:rFonts w:hint="eastAsia" w:ascii="仿宋_GB2312" w:eastAsia="仿宋_GB2312" w:cs="宋体"/>
          <w:sz w:val="28"/>
          <w:szCs w:val="28"/>
        </w:rPr>
        <w:t>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急救外科医技大楼一楼大厅改造住院药房工程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招标工程量清单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6FF270F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12C9E"/>
    <w:rsid w:val="1805257B"/>
    <w:rsid w:val="18417FAA"/>
    <w:rsid w:val="18B26690"/>
    <w:rsid w:val="191E5C56"/>
    <w:rsid w:val="1A065282"/>
    <w:rsid w:val="1B991E82"/>
    <w:rsid w:val="1BB84FA8"/>
    <w:rsid w:val="1BEF520A"/>
    <w:rsid w:val="1C2228A9"/>
    <w:rsid w:val="1C2F48B0"/>
    <w:rsid w:val="1D123108"/>
    <w:rsid w:val="1DEB77D7"/>
    <w:rsid w:val="1EFF50D5"/>
    <w:rsid w:val="1F39612C"/>
    <w:rsid w:val="1F9B5C5B"/>
    <w:rsid w:val="1FC26CC5"/>
    <w:rsid w:val="20C16B85"/>
    <w:rsid w:val="20FB729F"/>
    <w:rsid w:val="213F5667"/>
    <w:rsid w:val="22727E3E"/>
    <w:rsid w:val="22CD1AE9"/>
    <w:rsid w:val="244D7EE2"/>
    <w:rsid w:val="2474465F"/>
    <w:rsid w:val="24C06FBD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AE205B9"/>
    <w:rsid w:val="2B1B06D5"/>
    <w:rsid w:val="2D0F6886"/>
    <w:rsid w:val="2D76352E"/>
    <w:rsid w:val="2F7D1C76"/>
    <w:rsid w:val="2F9F18CF"/>
    <w:rsid w:val="30AF7BBA"/>
    <w:rsid w:val="30F968CD"/>
    <w:rsid w:val="3157004B"/>
    <w:rsid w:val="317D0846"/>
    <w:rsid w:val="32C11878"/>
    <w:rsid w:val="32EA6A36"/>
    <w:rsid w:val="32ED7439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913546"/>
    <w:rsid w:val="37E04360"/>
    <w:rsid w:val="37EF2098"/>
    <w:rsid w:val="38122979"/>
    <w:rsid w:val="387A2F14"/>
    <w:rsid w:val="388D57CB"/>
    <w:rsid w:val="38C6097C"/>
    <w:rsid w:val="392A7BCD"/>
    <w:rsid w:val="3D934B4E"/>
    <w:rsid w:val="3DFC2910"/>
    <w:rsid w:val="3E87367B"/>
    <w:rsid w:val="3EFC6F4E"/>
    <w:rsid w:val="3FAD6B2B"/>
    <w:rsid w:val="40392F73"/>
    <w:rsid w:val="40600540"/>
    <w:rsid w:val="40924C19"/>
    <w:rsid w:val="40B10794"/>
    <w:rsid w:val="431E2467"/>
    <w:rsid w:val="43755A54"/>
    <w:rsid w:val="4445655D"/>
    <w:rsid w:val="461F7E01"/>
    <w:rsid w:val="46904A0D"/>
    <w:rsid w:val="48A32E9F"/>
    <w:rsid w:val="499312D8"/>
    <w:rsid w:val="4C0C02EE"/>
    <w:rsid w:val="4CE0413D"/>
    <w:rsid w:val="4E3A3B2B"/>
    <w:rsid w:val="4E6F01DE"/>
    <w:rsid w:val="4F890497"/>
    <w:rsid w:val="506D5ADE"/>
    <w:rsid w:val="50875421"/>
    <w:rsid w:val="509628B2"/>
    <w:rsid w:val="516D68B0"/>
    <w:rsid w:val="51D154C7"/>
    <w:rsid w:val="526B0F40"/>
    <w:rsid w:val="53415EB0"/>
    <w:rsid w:val="53D81337"/>
    <w:rsid w:val="53F51B7A"/>
    <w:rsid w:val="55491B8F"/>
    <w:rsid w:val="55FC72BC"/>
    <w:rsid w:val="5617763E"/>
    <w:rsid w:val="565C4E5A"/>
    <w:rsid w:val="566A6056"/>
    <w:rsid w:val="576D6444"/>
    <w:rsid w:val="58136A80"/>
    <w:rsid w:val="58C02F54"/>
    <w:rsid w:val="59AE14A0"/>
    <w:rsid w:val="5A555421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FBC4F3C"/>
    <w:rsid w:val="61161D6C"/>
    <w:rsid w:val="61170C9C"/>
    <w:rsid w:val="626E3BBE"/>
    <w:rsid w:val="639B1BFA"/>
    <w:rsid w:val="63E8360E"/>
    <w:rsid w:val="652218AF"/>
    <w:rsid w:val="66193829"/>
    <w:rsid w:val="66D2754F"/>
    <w:rsid w:val="67253A4C"/>
    <w:rsid w:val="67496ED6"/>
    <w:rsid w:val="677C15A2"/>
    <w:rsid w:val="677F584B"/>
    <w:rsid w:val="67E261CE"/>
    <w:rsid w:val="6837547E"/>
    <w:rsid w:val="68F90ED7"/>
    <w:rsid w:val="69AE2106"/>
    <w:rsid w:val="6A105DA2"/>
    <w:rsid w:val="6ADD236D"/>
    <w:rsid w:val="6B100025"/>
    <w:rsid w:val="6B3E403C"/>
    <w:rsid w:val="6CC6298C"/>
    <w:rsid w:val="6DD03FF2"/>
    <w:rsid w:val="6E793F3E"/>
    <w:rsid w:val="6E7B6273"/>
    <w:rsid w:val="6FD26EA9"/>
    <w:rsid w:val="71113C00"/>
    <w:rsid w:val="7259527D"/>
    <w:rsid w:val="74B1467C"/>
    <w:rsid w:val="74DE39ED"/>
    <w:rsid w:val="754E11B6"/>
    <w:rsid w:val="7553549A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C2D6CB0"/>
    <w:rsid w:val="7D580F14"/>
    <w:rsid w:val="7D5E49B4"/>
    <w:rsid w:val="7DD763F9"/>
    <w:rsid w:val="7DD8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18</TotalTime>
  <ScaleCrop>false</ScaleCrop>
  <LinksUpToDate>false</LinksUpToDate>
  <CharactersWithSpaces>1620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2014-07-21T09:37:00Z</cp:lastPrinted>
  <dcterms:modified xsi:type="dcterms:W3CDTF">2020-04-13T06:46:37Z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